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87" w:type="dxa"/>
        <w:tblInd w:w="-34"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shd w:val="clear" w:color="auto" w:fill="FFFF99"/>
        <w:tblLayout w:type="fixed"/>
        <w:tblLook w:val="04A0" w:firstRow="1" w:lastRow="0" w:firstColumn="1" w:lastColumn="0" w:noHBand="0" w:noVBand="1"/>
      </w:tblPr>
      <w:tblGrid>
        <w:gridCol w:w="132"/>
        <w:gridCol w:w="10"/>
        <w:gridCol w:w="426"/>
        <w:gridCol w:w="2002"/>
        <w:gridCol w:w="10"/>
        <w:gridCol w:w="3941"/>
        <w:gridCol w:w="2455"/>
        <w:gridCol w:w="11"/>
      </w:tblGrid>
      <w:tr w:rsidRPr="00975B07" w:rsidR="00CE544A" w:rsidTr="19AD6E9B" w14:paraId="032B99DA" w14:textId="77777777">
        <w:tblPrEx>
          <w:tblBorders>
            <w:top w:val="none" w:color="auto" w:sz="0" w:space="0"/>
            <w:left w:val="none" w:color="auto" w:sz="0" w:space="0"/>
            <w:bottom w:val="none" w:color="auto" w:sz="0" w:space="0"/>
            <w:right w:val="none" w:color="auto" w:sz="0" w:space="0"/>
          </w:tblBorders>
          <w:shd w:val="clear" w:color="auto" w:fill="auto"/>
        </w:tblPrEx>
        <w:trPr>
          <w:gridBefore w:val="1"/>
          <w:gridAfter w:val="1"/>
          <w:wBefore w:w="132" w:type="dxa"/>
          <w:wAfter w:w="11" w:type="dxa"/>
        </w:trPr>
        <w:tc>
          <w:tcPr>
            <w:tcW w:w="2438" w:type="dxa"/>
            <w:gridSpan w:val="3"/>
            <w:tcBorders>
              <w:top w:val="single" w:color="000000" w:themeColor="text1" w:sz="0"/>
              <w:left w:val="single" w:color="000000" w:themeColor="text1" w:sz="0"/>
              <w:bottom w:val="single" w:color="000000" w:themeColor="text1" w:sz="0"/>
              <w:right w:val="single" w:color="000000" w:themeColor="text1" w:sz="0"/>
            </w:tcBorders>
            <w:shd w:val="clear" w:color="auto" w:fill="FFFFFF" w:themeFill="background1"/>
            <w:tcMar/>
          </w:tcPr>
          <w:p w:rsidRPr="00975B07" w:rsidR="00F445B1" w:rsidP="004A6D2F" w:rsidRDefault="00F445B1" w14:paraId="032B99D8" w14:textId="77777777">
            <w:pPr>
              <w:rPr>
                <w:rStyle w:val="Firstpagetablebold"/>
              </w:rPr>
            </w:pPr>
            <w:r w:rsidRPr="00975B07">
              <w:rPr>
                <w:rStyle w:val="Firstpagetablebold"/>
              </w:rPr>
              <w:t>To</w:t>
            </w:r>
            <w:r w:rsidRPr="00975B07" w:rsidR="005C35A5">
              <w:rPr>
                <w:rStyle w:val="Firstpagetablebold"/>
              </w:rPr>
              <w:t>:</w:t>
            </w:r>
          </w:p>
        </w:tc>
        <w:tc>
          <w:tcPr>
            <w:tcW w:w="6406" w:type="dxa"/>
            <w:gridSpan w:val="3"/>
            <w:tcBorders>
              <w:top w:val="single" w:color="000000" w:themeColor="text1" w:sz="0"/>
              <w:left w:val="single" w:color="000000" w:themeColor="text1" w:sz="0"/>
              <w:bottom w:val="single" w:color="000000" w:themeColor="text1" w:sz="0"/>
              <w:right w:val="single" w:color="000000" w:themeColor="text1" w:sz="0"/>
            </w:tcBorders>
            <w:shd w:val="clear" w:color="auto" w:fill="FFFFFF" w:themeFill="background1"/>
            <w:tcMar/>
          </w:tcPr>
          <w:p w:rsidRPr="00F95BC9" w:rsidR="00F445B1" w:rsidP="004A6D2F" w:rsidRDefault="00DB7AD7" w14:paraId="032B99D9" w14:textId="77777777">
            <w:pPr>
              <w:rPr>
                <w:rStyle w:val="Firstpagetablebold"/>
              </w:rPr>
            </w:pPr>
            <w:r>
              <w:rPr>
                <w:rStyle w:val="Firstpagetablebold"/>
              </w:rPr>
              <w:t>Cabinet</w:t>
            </w:r>
          </w:p>
        </w:tc>
      </w:tr>
      <w:tr w:rsidRPr="00975B07" w:rsidR="00CE544A" w:rsidTr="19AD6E9B" w14:paraId="032B99DD" w14:textId="77777777">
        <w:tblPrEx>
          <w:tblBorders>
            <w:top w:val="none" w:color="auto" w:sz="0" w:space="0"/>
            <w:left w:val="none" w:color="auto" w:sz="0" w:space="0"/>
            <w:bottom w:val="none" w:color="auto" w:sz="0" w:space="0"/>
            <w:right w:val="none" w:color="auto" w:sz="0" w:space="0"/>
          </w:tblBorders>
          <w:shd w:val="clear" w:color="auto" w:fill="auto"/>
        </w:tblPrEx>
        <w:trPr>
          <w:gridBefore w:val="1"/>
          <w:gridAfter w:val="1"/>
          <w:wBefore w:w="132" w:type="dxa"/>
          <w:wAfter w:w="11" w:type="dxa"/>
        </w:trPr>
        <w:tc>
          <w:tcPr>
            <w:tcW w:w="2438" w:type="dxa"/>
            <w:gridSpan w:val="3"/>
            <w:tcBorders>
              <w:top w:val="single" w:color="000000" w:themeColor="text1" w:sz="0"/>
              <w:left w:val="single" w:color="000000" w:themeColor="text1" w:sz="0"/>
              <w:bottom w:val="single" w:color="000000" w:themeColor="text1" w:sz="0"/>
              <w:right w:val="single" w:color="000000" w:themeColor="text1" w:sz="0"/>
            </w:tcBorders>
            <w:shd w:val="clear" w:color="auto" w:fill="FFFFFF" w:themeFill="background1"/>
            <w:tcMar/>
          </w:tcPr>
          <w:p w:rsidRPr="00975B07" w:rsidR="00F445B1" w:rsidP="004A6D2F" w:rsidRDefault="00F445B1" w14:paraId="032B99DB" w14:textId="77777777">
            <w:pPr>
              <w:rPr>
                <w:rStyle w:val="Firstpagetablebold"/>
              </w:rPr>
            </w:pPr>
            <w:r w:rsidRPr="00975B07">
              <w:rPr>
                <w:rStyle w:val="Firstpagetablebold"/>
              </w:rPr>
              <w:t>Dat</w:t>
            </w:r>
            <w:r w:rsidRPr="00975B07" w:rsidR="005C35A5">
              <w:rPr>
                <w:rStyle w:val="Firstpagetablebold"/>
              </w:rPr>
              <w:t>e:</w:t>
            </w:r>
          </w:p>
        </w:tc>
        <w:tc>
          <w:tcPr>
            <w:tcW w:w="6406" w:type="dxa"/>
            <w:gridSpan w:val="3"/>
            <w:tcBorders>
              <w:top w:val="single" w:color="000000" w:themeColor="text1" w:sz="0"/>
              <w:left w:val="single" w:color="000000" w:themeColor="text1" w:sz="0"/>
              <w:bottom w:val="single" w:color="000000" w:themeColor="text1" w:sz="0"/>
              <w:right w:val="single" w:color="000000" w:themeColor="text1" w:sz="0"/>
            </w:tcBorders>
            <w:shd w:val="clear" w:color="auto" w:fill="FFFFFF" w:themeFill="background1"/>
            <w:tcMar/>
          </w:tcPr>
          <w:p w:rsidRPr="001356F1" w:rsidR="00F445B1" w:rsidP="005D0621" w:rsidRDefault="002A1152" w14:paraId="032B99DC" w14:textId="04807D9F">
            <w:pPr>
              <w:rPr>
                <w:b/>
              </w:rPr>
            </w:pPr>
            <w:r>
              <w:rPr>
                <w:rStyle w:val="Firstpagetablebold"/>
              </w:rPr>
              <w:t>10</w:t>
            </w:r>
            <w:r w:rsidRPr="00C80492" w:rsidR="00C80492">
              <w:rPr>
                <w:rStyle w:val="Firstpagetablebold"/>
                <w:vertAlign w:val="superscript"/>
              </w:rPr>
              <w:t>th</w:t>
            </w:r>
            <w:r w:rsidR="00C80492">
              <w:rPr>
                <w:rStyle w:val="Firstpagetablebold"/>
              </w:rPr>
              <w:t xml:space="preserve"> December 202</w:t>
            </w:r>
            <w:r>
              <w:rPr>
                <w:rStyle w:val="Firstpagetablebold"/>
              </w:rPr>
              <w:t>5</w:t>
            </w:r>
          </w:p>
        </w:tc>
      </w:tr>
      <w:tr w:rsidRPr="00975B07" w:rsidR="00CE544A" w:rsidTr="19AD6E9B" w14:paraId="032B99E0" w14:textId="77777777">
        <w:tblPrEx>
          <w:tblBorders>
            <w:top w:val="none" w:color="auto" w:sz="0" w:space="0"/>
            <w:left w:val="none" w:color="auto" w:sz="0" w:space="0"/>
            <w:bottom w:val="none" w:color="auto" w:sz="0" w:space="0"/>
            <w:right w:val="none" w:color="auto" w:sz="0" w:space="0"/>
          </w:tblBorders>
          <w:shd w:val="clear" w:color="auto" w:fill="auto"/>
        </w:tblPrEx>
        <w:trPr>
          <w:gridBefore w:val="1"/>
          <w:gridAfter w:val="1"/>
          <w:wBefore w:w="132" w:type="dxa"/>
          <w:wAfter w:w="11" w:type="dxa"/>
        </w:trPr>
        <w:tc>
          <w:tcPr>
            <w:tcW w:w="2438" w:type="dxa"/>
            <w:gridSpan w:val="3"/>
            <w:tcBorders>
              <w:top w:val="single" w:color="000000" w:themeColor="text1" w:sz="0"/>
              <w:left w:val="single" w:color="000000" w:themeColor="text1" w:sz="0"/>
              <w:bottom w:val="single" w:color="000000" w:themeColor="text1" w:sz="0"/>
              <w:right w:val="single" w:color="000000" w:themeColor="text1" w:sz="0"/>
            </w:tcBorders>
            <w:shd w:val="clear" w:color="auto" w:fill="FFFFFF" w:themeFill="background1"/>
            <w:tcMar/>
          </w:tcPr>
          <w:p w:rsidRPr="00975B07" w:rsidR="00F445B1" w:rsidP="004A6D2F" w:rsidRDefault="00F445B1" w14:paraId="032B99DE" w14:textId="77777777">
            <w:pPr>
              <w:rPr>
                <w:rStyle w:val="Firstpagetablebold"/>
              </w:rPr>
            </w:pPr>
            <w:r w:rsidRPr="00975B07">
              <w:rPr>
                <w:rStyle w:val="Firstpagetablebold"/>
              </w:rPr>
              <w:t>Report of</w:t>
            </w:r>
            <w:r w:rsidRPr="00975B07" w:rsidR="005C35A5">
              <w:rPr>
                <w:rStyle w:val="Firstpagetablebold"/>
              </w:rPr>
              <w:t>:</w:t>
            </w:r>
          </w:p>
        </w:tc>
        <w:tc>
          <w:tcPr>
            <w:tcW w:w="6406" w:type="dxa"/>
            <w:gridSpan w:val="3"/>
            <w:tcBorders>
              <w:top w:val="single" w:color="000000" w:themeColor="text1" w:sz="0"/>
              <w:left w:val="single" w:color="000000" w:themeColor="text1" w:sz="0"/>
              <w:bottom w:val="single" w:color="000000" w:themeColor="text1" w:sz="0"/>
              <w:right w:val="single" w:color="000000" w:themeColor="text1" w:sz="0"/>
            </w:tcBorders>
            <w:shd w:val="clear" w:color="auto" w:fill="FFFFFF" w:themeFill="background1"/>
            <w:tcMar/>
          </w:tcPr>
          <w:p w:rsidRPr="001356F1" w:rsidR="00F445B1" w:rsidP="004A6D2F" w:rsidRDefault="00C80492" w14:paraId="032B99DF" w14:textId="77777777">
            <w:pPr>
              <w:rPr>
                <w:rStyle w:val="Firstpagetablebold"/>
              </w:rPr>
            </w:pPr>
            <w:r>
              <w:rPr>
                <w:rStyle w:val="Firstpagetablebold"/>
              </w:rPr>
              <w:t>Head of Environmental Sustainability</w:t>
            </w:r>
          </w:p>
        </w:tc>
      </w:tr>
      <w:tr w:rsidRPr="00975B07" w:rsidR="00CE544A" w:rsidTr="19AD6E9B" w14:paraId="032B99E4" w14:textId="77777777">
        <w:tblPrEx>
          <w:tblBorders>
            <w:top w:val="none" w:color="auto" w:sz="0" w:space="0"/>
            <w:left w:val="none" w:color="auto" w:sz="0" w:space="0"/>
            <w:bottom w:val="none" w:color="auto" w:sz="0" w:space="0"/>
            <w:right w:val="none" w:color="auto" w:sz="0" w:space="0"/>
          </w:tblBorders>
          <w:shd w:val="clear" w:color="auto" w:fill="auto"/>
        </w:tblPrEx>
        <w:trPr>
          <w:gridBefore w:val="1"/>
          <w:gridAfter w:val="1"/>
          <w:wBefore w:w="132" w:type="dxa"/>
          <w:wAfter w:w="11" w:type="dxa"/>
        </w:trPr>
        <w:tc>
          <w:tcPr>
            <w:tcW w:w="2438" w:type="dxa"/>
            <w:gridSpan w:val="3"/>
            <w:tcBorders>
              <w:top w:val="single" w:color="000000" w:themeColor="text1" w:sz="0"/>
              <w:left w:val="single" w:color="000000" w:themeColor="text1" w:sz="0"/>
              <w:bottom w:val="single" w:color="000000" w:themeColor="text1" w:sz="0"/>
              <w:right w:val="single" w:color="000000" w:themeColor="text1" w:sz="0"/>
            </w:tcBorders>
            <w:shd w:val="clear" w:color="auto" w:fill="FFFFFF" w:themeFill="background1"/>
            <w:tcMar/>
          </w:tcPr>
          <w:p w:rsidRPr="00975B07" w:rsidR="00F445B1" w:rsidP="004A6D2F" w:rsidRDefault="00F445B1" w14:paraId="032B99E1" w14:textId="77777777">
            <w:pPr>
              <w:rPr>
                <w:rStyle w:val="Firstpagetablebold"/>
              </w:rPr>
            </w:pPr>
            <w:r w:rsidRPr="00975B07">
              <w:rPr>
                <w:rStyle w:val="Firstpagetablebold"/>
              </w:rPr>
              <w:t xml:space="preserve">Title of Report: </w:t>
            </w:r>
          </w:p>
        </w:tc>
        <w:tc>
          <w:tcPr>
            <w:tcW w:w="6406" w:type="dxa"/>
            <w:gridSpan w:val="3"/>
            <w:tcBorders>
              <w:top w:val="single" w:color="000000" w:themeColor="text1" w:sz="0"/>
              <w:left w:val="single" w:color="000000" w:themeColor="text1" w:sz="0"/>
              <w:bottom w:val="single" w:color="000000" w:themeColor="text1" w:sz="0"/>
              <w:right w:val="single" w:color="000000" w:themeColor="text1" w:sz="0"/>
            </w:tcBorders>
            <w:shd w:val="clear" w:color="auto" w:fill="FFFFFF" w:themeFill="background1"/>
            <w:tcMar/>
          </w:tcPr>
          <w:p w:rsidR="00F445B1" w:rsidP="004A6D2F" w:rsidRDefault="00C80492" w14:paraId="032B99E2" w14:textId="0A7392A4">
            <w:pPr>
              <w:rPr>
                <w:rStyle w:val="Firstpagetablebold"/>
              </w:rPr>
            </w:pPr>
            <w:r>
              <w:rPr>
                <w:rStyle w:val="Firstpagetablebold"/>
              </w:rPr>
              <w:t>Land Quality Strategy</w:t>
            </w:r>
            <w:r w:rsidR="002B114F">
              <w:rPr>
                <w:rStyle w:val="Firstpagetablebold"/>
              </w:rPr>
              <w:t xml:space="preserve"> – December 202</w:t>
            </w:r>
            <w:r w:rsidR="002A1152">
              <w:rPr>
                <w:rStyle w:val="Firstpagetablebold"/>
              </w:rPr>
              <w:t>5</w:t>
            </w:r>
          </w:p>
          <w:p w:rsidRPr="001356F1" w:rsidR="00A004D1" w:rsidP="004A6D2F" w:rsidRDefault="00A004D1" w14:paraId="032B99E3" w14:textId="77777777">
            <w:pPr>
              <w:rPr>
                <w:rStyle w:val="Firstpagetablebold"/>
              </w:rPr>
            </w:pPr>
          </w:p>
        </w:tc>
      </w:tr>
      <w:tr w:rsidR="00D5547E" w:rsidTr="19AD6E9B" w14:paraId="032B99E6"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gridBefore w:val="2"/>
          <w:wBefore w:w="142" w:type="dxa"/>
        </w:trPr>
        <w:tc>
          <w:tcPr>
            <w:tcW w:w="8845" w:type="dxa"/>
            <w:gridSpan w:val="6"/>
            <w:tcBorders>
              <w:top w:val="single" w:color="000000" w:themeColor="text1" w:sz="8"/>
              <w:left w:val="single" w:color="000000" w:themeColor="text1" w:sz="8"/>
              <w:bottom w:val="single" w:color="000000" w:themeColor="text1" w:sz="8" w:space="0"/>
              <w:right w:val="single" w:color="000000" w:themeColor="text1" w:sz="8"/>
            </w:tcBorders>
            <w:shd w:val="clear" w:color="auto" w:fill="FFFFFF" w:themeFill="background1"/>
            <w:tcMar/>
            <w:hideMark/>
          </w:tcPr>
          <w:p w:rsidR="00D5547E" w:rsidP="00745BF0" w:rsidRDefault="00745BF0" w14:paraId="032B99E5" w14:textId="77777777">
            <w:pPr>
              <w:jc w:val="center"/>
              <w:rPr>
                <w:rStyle w:val="Firstpagetablebold"/>
              </w:rPr>
            </w:pPr>
            <w:r>
              <w:rPr>
                <w:rStyle w:val="Firstpagetablebold"/>
              </w:rPr>
              <w:t>Summary and r</w:t>
            </w:r>
            <w:r w:rsidR="00D5547E">
              <w:rPr>
                <w:rStyle w:val="Firstpagetablebold"/>
              </w:rPr>
              <w:t>ecommendations</w:t>
            </w:r>
          </w:p>
        </w:tc>
      </w:tr>
      <w:tr w:rsidR="00D5547E" w:rsidTr="19AD6E9B" w14:paraId="032B99E9"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gridBefore w:val="2"/>
          <w:wBefore w:w="142" w:type="dxa"/>
        </w:trPr>
        <w:tc>
          <w:tcPr>
            <w:tcW w:w="2438" w:type="dxa"/>
            <w:gridSpan w:val="3"/>
            <w:tcBorders>
              <w:top w:val="single" w:color="000000" w:themeColor="text1" w:sz="8" w:space="0"/>
              <w:left w:val="single" w:color="000000" w:themeColor="text1" w:sz="8" w:space="0"/>
              <w:bottom w:val="nil" w:color="000000" w:themeColor="text1" w:sz="8"/>
              <w:right w:val="nil" w:color="000000" w:themeColor="text1" w:sz="8"/>
            </w:tcBorders>
            <w:shd w:val="clear" w:color="auto" w:fill="FFFFFF" w:themeFill="background1"/>
            <w:tcMar/>
            <w:hideMark/>
          </w:tcPr>
          <w:p w:rsidR="00D5547E" w:rsidRDefault="00D5547E" w14:paraId="032B99E7" w14:textId="77777777">
            <w:pPr>
              <w:rPr>
                <w:rStyle w:val="Firstpagetablebold"/>
              </w:rPr>
            </w:pPr>
            <w:r>
              <w:rPr>
                <w:rStyle w:val="Firstpagetablebold"/>
              </w:rPr>
              <w:t>Purpose of report:</w:t>
            </w:r>
          </w:p>
        </w:tc>
        <w:tc>
          <w:tcPr>
            <w:tcW w:w="6407" w:type="dxa"/>
            <w:gridSpan w:val="3"/>
            <w:tcBorders>
              <w:top w:val="single" w:color="000000" w:themeColor="text1" w:sz="8" w:space="0"/>
              <w:left w:val="nil" w:color="000000" w:themeColor="text1" w:sz="8"/>
              <w:bottom w:val="nil" w:color="000000" w:themeColor="text1" w:sz="8"/>
              <w:right w:val="single" w:color="000000" w:themeColor="text1" w:sz="8" w:space="0"/>
            </w:tcBorders>
            <w:shd w:val="clear" w:color="auto" w:fill="FFFFFF" w:themeFill="background1"/>
            <w:tcMar/>
            <w:hideMark/>
          </w:tcPr>
          <w:p w:rsidRPr="001356F1" w:rsidR="00D5547E" w:rsidP="00DB7AD7" w:rsidRDefault="00C80492" w14:paraId="032B99E8" w14:textId="738090B7">
            <w:r w:rsidRPr="00C80492">
              <w:t>To agree the adoption of the Land Quality Strategy</w:t>
            </w:r>
            <w:r w:rsidR="002B114F">
              <w:t xml:space="preserve"> 202</w:t>
            </w:r>
            <w:r w:rsidR="002A1152">
              <w:t>5</w:t>
            </w:r>
          </w:p>
        </w:tc>
      </w:tr>
      <w:tr w:rsidR="00D5547E" w:rsidTr="19AD6E9B" w14:paraId="032B99EC"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gridBefore w:val="2"/>
          <w:wBefore w:w="142" w:type="dxa"/>
        </w:trPr>
        <w:tc>
          <w:tcPr>
            <w:tcW w:w="2438" w:type="dxa"/>
            <w:gridSpan w:val="3"/>
            <w:tcBorders>
              <w:top w:val="nil" w:color="000000" w:themeColor="text1" w:sz="8"/>
              <w:left w:val="single" w:color="000000" w:themeColor="text1" w:sz="8" w:space="0"/>
              <w:bottom w:val="nil" w:color="000000" w:themeColor="text1" w:sz="8"/>
              <w:right w:val="nil" w:color="000000" w:themeColor="text1" w:sz="8"/>
            </w:tcBorders>
            <w:shd w:val="clear" w:color="auto" w:fill="FFFFFF" w:themeFill="background1"/>
            <w:tcMar/>
            <w:hideMark/>
          </w:tcPr>
          <w:p w:rsidR="00D5547E" w:rsidRDefault="00D5547E" w14:paraId="032B99EA" w14:textId="77777777">
            <w:pPr>
              <w:rPr>
                <w:rStyle w:val="Firstpagetablebold"/>
              </w:rPr>
            </w:pPr>
            <w:r>
              <w:rPr>
                <w:rStyle w:val="Firstpagetablebold"/>
              </w:rPr>
              <w:t>Key decision:</w:t>
            </w:r>
          </w:p>
        </w:tc>
        <w:tc>
          <w:tcPr>
            <w:tcW w:w="6407" w:type="dxa"/>
            <w:gridSpan w:val="3"/>
            <w:tcBorders>
              <w:top w:val="nil" w:color="000000" w:themeColor="text1" w:sz="8"/>
              <w:left w:val="nil" w:color="000000" w:themeColor="text1" w:sz="8"/>
              <w:bottom w:val="nil" w:color="000000" w:themeColor="text1" w:sz="8"/>
              <w:right w:val="single" w:color="000000" w:themeColor="text1" w:sz="8" w:space="0"/>
            </w:tcBorders>
            <w:shd w:val="clear" w:color="auto" w:fill="FFFFFF" w:themeFill="background1"/>
            <w:tcMar/>
            <w:hideMark/>
          </w:tcPr>
          <w:p w:rsidRPr="001356F1" w:rsidR="00D5547E" w:rsidP="005F7F7E" w:rsidRDefault="00C80492" w14:paraId="032B99EB" w14:textId="77777777">
            <w:r>
              <w:t>Yes</w:t>
            </w:r>
          </w:p>
        </w:tc>
      </w:tr>
      <w:tr w:rsidR="00D5547E" w:rsidTr="19AD6E9B" w14:paraId="032B99EF"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gridBefore w:val="2"/>
          <w:wBefore w:w="142" w:type="dxa"/>
        </w:trPr>
        <w:tc>
          <w:tcPr>
            <w:tcW w:w="2438" w:type="dxa"/>
            <w:gridSpan w:val="3"/>
            <w:tcBorders>
              <w:top w:val="nil" w:color="000000" w:themeColor="text1" w:sz="8"/>
              <w:left w:val="single" w:color="000000" w:themeColor="text1" w:sz="8" w:space="0"/>
              <w:bottom w:val="nil" w:color="000000" w:themeColor="text1" w:sz="8"/>
              <w:right w:val="nil" w:color="000000" w:themeColor="text1" w:sz="8"/>
            </w:tcBorders>
            <w:shd w:val="clear" w:color="auto" w:fill="FFFFFF" w:themeFill="background1"/>
            <w:tcMar/>
            <w:hideMark/>
          </w:tcPr>
          <w:p w:rsidR="00D5547E" w:rsidRDefault="00D860E2" w14:paraId="032B99ED" w14:textId="77777777">
            <w:pPr>
              <w:rPr>
                <w:rStyle w:val="Firstpagetablebold"/>
              </w:rPr>
            </w:pPr>
            <w:r>
              <w:rPr>
                <w:rStyle w:val="Firstpagetablebold"/>
              </w:rPr>
              <w:t>Cabinet</w:t>
            </w:r>
            <w:r w:rsidR="00D5547E">
              <w:rPr>
                <w:rStyle w:val="Firstpagetablebold"/>
              </w:rPr>
              <w:t xml:space="preserve"> Member:</w:t>
            </w:r>
          </w:p>
        </w:tc>
        <w:tc>
          <w:tcPr>
            <w:tcW w:w="6407" w:type="dxa"/>
            <w:gridSpan w:val="3"/>
            <w:tcBorders>
              <w:top w:val="nil" w:color="000000" w:themeColor="text1" w:sz="8"/>
              <w:left w:val="nil" w:color="000000" w:themeColor="text1" w:sz="8"/>
              <w:bottom w:val="nil" w:color="000000" w:themeColor="text1" w:sz="8"/>
              <w:right w:val="single" w:color="000000" w:themeColor="text1" w:sz="8" w:space="0"/>
            </w:tcBorders>
            <w:shd w:val="clear" w:color="auto" w:fill="FFFFFF" w:themeFill="background1"/>
            <w:tcMar/>
            <w:hideMark/>
          </w:tcPr>
          <w:p w:rsidRPr="001356F1" w:rsidR="00D5547E" w:rsidP="00C80492" w:rsidRDefault="00D5547E" w14:paraId="032B99EE" w14:textId="28303EF2">
            <w:r w:rsidRPr="001356F1">
              <w:t xml:space="preserve">Councillor </w:t>
            </w:r>
            <w:r w:rsidR="007A229B">
              <w:t>Anna Railton</w:t>
            </w:r>
          </w:p>
        </w:tc>
      </w:tr>
      <w:tr w:rsidR="0080749A" w:rsidTr="19AD6E9B" w14:paraId="032B99F2"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gridBefore w:val="2"/>
          <w:wBefore w:w="142" w:type="dxa"/>
        </w:trPr>
        <w:tc>
          <w:tcPr>
            <w:tcW w:w="2438" w:type="dxa"/>
            <w:gridSpan w:val="3"/>
            <w:tcBorders>
              <w:top w:val="nil" w:color="000000" w:themeColor="text1" w:sz="8"/>
              <w:left w:val="single" w:color="000000" w:themeColor="text1" w:sz="8" w:space="0"/>
              <w:bottom w:val="nil" w:color="000000" w:themeColor="text1" w:sz="8"/>
              <w:right w:val="nil" w:color="000000" w:themeColor="text1" w:sz="8"/>
            </w:tcBorders>
            <w:shd w:val="clear" w:color="auto" w:fill="FFFFFF" w:themeFill="background1"/>
            <w:tcMar/>
          </w:tcPr>
          <w:p w:rsidR="0080749A" w:rsidRDefault="0080749A" w14:paraId="032B99F0" w14:textId="77777777">
            <w:pPr>
              <w:rPr>
                <w:rStyle w:val="Firstpagetablebold"/>
              </w:rPr>
            </w:pPr>
            <w:r>
              <w:rPr>
                <w:rStyle w:val="Firstpagetablebold"/>
              </w:rPr>
              <w:t>Corporate Priority:</w:t>
            </w:r>
          </w:p>
        </w:tc>
        <w:tc>
          <w:tcPr>
            <w:tcW w:w="6407" w:type="dxa"/>
            <w:gridSpan w:val="3"/>
            <w:tcBorders>
              <w:top w:val="nil" w:color="000000" w:themeColor="text1" w:sz="8"/>
              <w:left w:val="nil" w:color="000000" w:themeColor="text1" w:sz="8"/>
              <w:bottom w:val="nil" w:color="000000" w:themeColor="text1" w:sz="8"/>
              <w:right w:val="single" w:color="000000" w:themeColor="text1" w:sz="8" w:space="0"/>
            </w:tcBorders>
            <w:shd w:val="clear" w:color="auto" w:fill="FFFFFF" w:themeFill="background1"/>
            <w:tcMar/>
          </w:tcPr>
          <w:p w:rsidRPr="001356F1" w:rsidR="0080749A" w:rsidP="005F7F7E" w:rsidRDefault="007A229B" w14:paraId="032B99F1" w14:textId="6A827C62">
            <w:r>
              <w:t>Zero Carbon</w:t>
            </w:r>
          </w:p>
        </w:tc>
      </w:tr>
      <w:tr w:rsidR="00D5547E" w:rsidTr="19AD6E9B" w14:paraId="032B99F5"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gridBefore w:val="2"/>
          <w:wBefore w:w="142" w:type="dxa"/>
        </w:trPr>
        <w:tc>
          <w:tcPr>
            <w:tcW w:w="2438" w:type="dxa"/>
            <w:gridSpan w:val="3"/>
            <w:tcBorders>
              <w:top w:val="nil" w:color="000000" w:themeColor="text1" w:sz="8"/>
              <w:left w:val="single" w:color="000000" w:themeColor="text1" w:sz="8" w:space="0"/>
              <w:bottom w:val="nil" w:color="000000" w:themeColor="text1" w:sz="8"/>
              <w:right w:val="nil" w:color="000000" w:themeColor="text1" w:sz="8"/>
            </w:tcBorders>
            <w:shd w:val="clear" w:color="auto" w:fill="FFFFFF" w:themeFill="background1"/>
            <w:tcMar/>
            <w:hideMark/>
          </w:tcPr>
          <w:p w:rsidR="00D5547E" w:rsidRDefault="00D5547E" w14:paraId="032B99F3" w14:textId="77777777">
            <w:pPr>
              <w:rPr>
                <w:rStyle w:val="Firstpagetablebold"/>
              </w:rPr>
            </w:pPr>
            <w:r>
              <w:rPr>
                <w:rStyle w:val="Firstpagetablebold"/>
              </w:rPr>
              <w:t>Policy Framework:</w:t>
            </w:r>
          </w:p>
        </w:tc>
        <w:tc>
          <w:tcPr>
            <w:tcW w:w="6407" w:type="dxa"/>
            <w:gridSpan w:val="3"/>
            <w:tcBorders>
              <w:top w:val="nil" w:color="000000" w:themeColor="text1" w:sz="8"/>
              <w:left w:val="nil" w:color="000000" w:themeColor="text1" w:sz="8"/>
              <w:bottom w:val="nil" w:color="000000" w:themeColor="text1" w:sz="8"/>
              <w:right w:val="single" w:color="000000" w:themeColor="text1" w:sz="8" w:space="0"/>
            </w:tcBorders>
            <w:shd w:val="clear" w:color="auto" w:fill="FFFFFF" w:themeFill="background1"/>
            <w:tcMar/>
            <w:hideMark/>
          </w:tcPr>
          <w:p w:rsidRPr="001356F1" w:rsidR="00D5547E" w:rsidP="00A004D1" w:rsidRDefault="00A004D1" w14:paraId="032B99F4" w14:textId="77777777">
            <w:r>
              <w:t>Part 2a of the Environmental Protection Act (1990)</w:t>
            </w:r>
          </w:p>
        </w:tc>
      </w:tr>
      <w:tr w:rsidRPr="00975B07" w:rsidR="005F7F7E" w:rsidTr="19AD6E9B" w14:paraId="032B99F7"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gridBefore w:val="2"/>
          <w:wBefore w:w="142" w:type="dxa"/>
          <w:trHeight w:val="413"/>
        </w:trPr>
        <w:tc>
          <w:tcPr>
            <w:tcW w:w="8845" w:type="dxa"/>
            <w:gridSpan w:val="6"/>
            <w:tcBorders>
              <w:top w:val="single" w:color="000000" w:themeColor="text1" w:sz="8"/>
              <w:left w:val="single" w:color="000000" w:themeColor="text1" w:sz="8"/>
              <w:bottom w:val="single" w:color="000000" w:themeColor="text1" w:sz="8" w:space="0"/>
              <w:right w:val="single" w:color="000000" w:themeColor="text1" w:sz="8"/>
            </w:tcBorders>
            <w:shd w:val="clear" w:color="auto" w:fill="FFFFFF" w:themeFill="background1"/>
            <w:tcMar/>
          </w:tcPr>
          <w:p w:rsidRPr="00975B07" w:rsidR="005F7F7E" w:rsidP="00DB7AD7" w:rsidRDefault="005F7F7E" w14:paraId="032B99F6" w14:textId="77777777">
            <w:r>
              <w:rPr>
                <w:rStyle w:val="Firstpagetablebold"/>
              </w:rPr>
              <w:t>Recommendation(s</w:t>
            </w:r>
            <w:proofErr w:type="gramStart"/>
            <w:r>
              <w:rPr>
                <w:rStyle w:val="Firstpagetablebold"/>
              </w:rPr>
              <w:t>):That</w:t>
            </w:r>
            <w:proofErr w:type="gramEnd"/>
            <w:r>
              <w:rPr>
                <w:rStyle w:val="Firstpagetablebold"/>
              </w:rPr>
              <w:t xml:space="preserve"> </w:t>
            </w:r>
            <w:r w:rsidR="00DB7AD7">
              <w:rPr>
                <w:rStyle w:val="Firstpagetablebold"/>
              </w:rPr>
              <w:t>Cabinet</w:t>
            </w:r>
            <w:r>
              <w:rPr>
                <w:rStyle w:val="Firstpagetablebold"/>
              </w:rPr>
              <w:t xml:space="preserve"> resolves to:</w:t>
            </w:r>
          </w:p>
        </w:tc>
      </w:tr>
      <w:tr w:rsidRPr="00975B07" w:rsidR="00AD1529" w:rsidTr="19AD6E9B" w14:paraId="032B99FA"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gridBefore w:val="2"/>
          <w:wBefore w:w="142" w:type="dxa"/>
          <w:trHeight w:val="283"/>
        </w:trPr>
        <w:tc>
          <w:tcPr>
            <w:tcW w:w="426" w:type="dxa"/>
            <w:tcBorders>
              <w:top w:val="single" w:color="000000" w:themeColor="text1" w:sz="8" w:space="0"/>
              <w:left w:val="single" w:color="000000" w:themeColor="text1" w:sz="8" w:space="0"/>
              <w:bottom w:val="nil" w:color="000000" w:themeColor="text1" w:sz="8"/>
              <w:right w:val="nil" w:color="000000" w:themeColor="text1" w:sz="8"/>
            </w:tcBorders>
            <w:shd w:val="clear" w:color="auto" w:fill="FFFFFF" w:themeFill="background1"/>
            <w:tcMar/>
          </w:tcPr>
          <w:p w:rsidRPr="00975B07" w:rsidR="00AD1529" w:rsidP="00AD1529" w:rsidRDefault="00AD1529" w14:paraId="032B99F8" w14:textId="77777777">
            <w:r w:rsidRPr="00975B07">
              <w:t>1.</w:t>
            </w:r>
          </w:p>
        </w:tc>
        <w:tc>
          <w:tcPr>
            <w:tcW w:w="8419" w:type="dxa"/>
            <w:gridSpan w:val="5"/>
            <w:tcBorders>
              <w:top w:val="single" w:color="000000" w:themeColor="text1" w:sz="8" w:space="0"/>
              <w:left w:val="nil" w:color="000000" w:themeColor="text1" w:sz="8"/>
              <w:bottom w:val="nil" w:color="000000" w:themeColor="text1" w:sz="8"/>
              <w:right w:val="single" w:color="000000" w:themeColor="text1" w:sz="8" w:space="0"/>
            </w:tcBorders>
            <w:shd w:val="clear" w:color="auto" w:fill="FFFFFF" w:themeFill="background1"/>
            <w:tcMar/>
          </w:tcPr>
          <w:p w:rsidRPr="001356F1" w:rsidR="00AD1529" w:rsidP="00AD1529" w:rsidRDefault="00AD1529" w14:paraId="032B99F9" w14:textId="77777777">
            <w:r w:rsidRPr="001B6800">
              <w:t xml:space="preserve">To approve the </w:t>
            </w:r>
            <w:r>
              <w:t xml:space="preserve">revised Land Quality Strategy </w:t>
            </w:r>
            <w:r w:rsidRPr="001B6800">
              <w:t>for adoption.</w:t>
            </w:r>
          </w:p>
        </w:tc>
      </w:tr>
      <w:tr w:rsidRPr="00975B07" w:rsidR="00AD1529" w:rsidTr="19AD6E9B" w14:paraId="032B99FF"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gridBefore w:val="2"/>
          <w:wBefore w:w="142" w:type="dxa"/>
          <w:trHeight w:val="283"/>
        </w:trPr>
        <w:tc>
          <w:tcPr>
            <w:tcW w:w="426" w:type="dxa"/>
            <w:tcBorders>
              <w:top w:val="nil" w:color="000000" w:themeColor="text1" w:sz="8"/>
              <w:left w:val="single" w:color="000000" w:themeColor="text1" w:sz="8" w:space="0"/>
              <w:bottom w:val="nil" w:color="000000" w:themeColor="text1" w:sz="8"/>
              <w:right w:val="nil" w:color="000000" w:themeColor="text1" w:sz="8"/>
            </w:tcBorders>
            <w:shd w:val="clear" w:color="auto" w:fill="FFFFFF" w:themeFill="background1"/>
            <w:tcMar/>
          </w:tcPr>
          <w:p w:rsidRPr="00975B07" w:rsidR="00AD1529" w:rsidP="00AD1529" w:rsidRDefault="00AD1529" w14:paraId="032B99FB" w14:textId="77777777">
            <w:r w:rsidRPr="00975B07">
              <w:t>2.</w:t>
            </w:r>
          </w:p>
        </w:tc>
        <w:tc>
          <w:tcPr>
            <w:tcW w:w="8419" w:type="dxa"/>
            <w:gridSpan w:val="5"/>
            <w:tcBorders>
              <w:top w:val="nil" w:color="000000" w:themeColor="text1" w:sz="8"/>
              <w:left w:val="nil" w:color="000000" w:themeColor="text1" w:sz="8"/>
              <w:bottom w:val="nil" w:color="000000" w:themeColor="text1" w:sz="8"/>
              <w:right w:val="single" w:color="000000" w:themeColor="text1" w:sz="8" w:space="0"/>
            </w:tcBorders>
            <w:shd w:val="clear" w:color="auto" w:fill="FFFFFF" w:themeFill="background1"/>
            <w:tcMar/>
          </w:tcPr>
          <w:p w:rsidR="00AD1529" w:rsidP="00AD1529" w:rsidRDefault="00AD1529" w14:paraId="032B99FC" w14:textId="77777777">
            <w:r w:rsidRPr="001B6800">
              <w:t xml:space="preserve">To </w:t>
            </w:r>
            <w:r w:rsidR="00A004D1">
              <w:t xml:space="preserve">continue to </w:t>
            </w:r>
            <w:r w:rsidRPr="001B6800">
              <w:t xml:space="preserve">endorse </w:t>
            </w:r>
            <w:r w:rsidR="002B114F">
              <w:t xml:space="preserve">the </w:t>
            </w:r>
            <w:r w:rsidR="00A004D1">
              <w:t xml:space="preserve">approved </w:t>
            </w:r>
            <w:r w:rsidRPr="001B6800">
              <w:t>procedure for dealing with contaminated land by:</w:t>
            </w:r>
          </w:p>
          <w:p w:rsidR="00AD1529" w:rsidP="00AD1529" w:rsidRDefault="00AD1529" w14:paraId="032B99FD" w14:textId="77777777">
            <w:r>
              <w:t xml:space="preserve">- Using the development control regime wherever possible </w:t>
            </w:r>
            <w:proofErr w:type="gramStart"/>
            <w:r>
              <w:t>in order to</w:t>
            </w:r>
            <w:proofErr w:type="gramEnd"/>
            <w:r>
              <w:t xml:space="preserve"> assess and remediate land affected by contamination.</w:t>
            </w:r>
          </w:p>
          <w:p w:rsidRPr="001356F1" w:rsidR="00AD1529" w:rsidP="00AD1529" w:rsidRDefault="00AD1529" w14:paraId="032B99FE" w14:textId="77777777">
            <w:r>
              <w:t xml:space="preserve">- Where this is not </w:t>
            </w:r>
            <w:proofErr w:type="gramStart"/>
            <w:r>
              <w:t>possible</w:t>
            </w:r>
            <w:proofErr w:type="gramEnd"/>
            <w:r>
              <w:t xml:space="preserve"> we will utilise powers under Part 2a of the Environmental Protection Act (1990) in order to ensure contaminated land is remediated.</w:t>
            </w:r>
          </w:p>
        </w:tc>
      </w:tr>
      <w:tr w:rsidRPr="00975B07" w:rsidR="00AD1529" w:rsidTr="19AD6E9B" w14:paraId="032B9A02"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gridBefore w:val="2"/>
          <w:wBefore w:w="142" w:type="dxa"/>
          <w:trHeight w:val="283"/>
        </w:trPr>
        <w:tc>
          <w:tcPr>
            <w:tcW w:w="426" w:type="dxa"/>
            <w:tcBorders>
              <w:top w:val="nil" w:color="000000" w:themeColor="text1" w:sz="8"/>
              <w:left w:val="single" w:color="000000" w:themeColor="text1" w:sz="8" w:space="0"/>
              <w:bottom w:val="nil" w:color="000000" w:themeColor="text1" w:sz="8"/>
              <w:right w:val="nil" w:color="000000" w:themeColor="text1" w:sz="8"/>
            </w:tcBorders>
            <w:shd w:val="clear" w:color="auto" w:fill="FFFFFF" w:themeFill="background1"/>
            <w:tcMar/>
          </w:tcPr>
          <w:p w:rsidRPr="00975B07" w:rsidR="00AD1529" w:rsidP="00AD1529" w:rsidRDefault="00AD1529" w14:paraId="032B9A00" w14:textId="77777777">
            <w:r w:rsidRPr="00975B07">
              <w:t>3.</w:t>
            </w:r>
          </w:p>
        </w:tc>
        <w:tc>
          <w:tcPr>
            <w:tcW w:w="8419" w:type="dxa"/>
            <w:gridSpan w:val="5"/>
            <w:tcBorders>
              <w:top w:val="nil" w:color="000000" w:themeColor="text1" w:sz="8"/>
              <w:left w:val="nil" w:color="000000" w:themeColor="text1" w:sz="8"/>
              <w:bottom w:val="nil" w:color="000000" w:themeColor="text1" w:sz="8"/>
              <w:right w:val="single" w:color="000000" w:themeColor="text1" w:sz="8" w:space="0"/>
            </w:tcBorders>
            <w:shd w:val="clear" w:color="auto" w:fill="FFFFFF" w:themeFill="background1"/>
            <w:tcMar/>
          </w:tcPr>
          <w:p w:rsidRPr="001356F1" w:rsidR="00AD1529" w:rsidP="00AD1529" w:rsidRDefault="00A004D1" w14:paraId="032B9A01" w14:textId="77777777">
            <w:r>
              <w:t>To note that if</w:t>
            </w:r>
            <w:r w:rsidR="00AD1529">
              <w:t xml:space="preserve"> works are required under Part 2a Of the Environmental Protection Act (1990), then this will be funded from contingencies and reserves.</w:t>
            </w:r>
          </w:p>
        </w:tc>
      </w:tr>
      <w:tr w:rsidRPr="00975B07" w:rsidR="00AD1529" w:rsidTr="19AD6E9B" w14:paraId="032B9A05"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gridBefore w:val="2"/>
          <w:wBefore w:w="142" w:type="dxa"/>
          <w:trHeight w:val="283"/>
        </w:trPr>
        <w:tc>
          <w:tcPr>
            <w:tcW w:w="426" w:type="dxa"/>
            <w:tcBorders>
              <w:top w:val="nil" w:color="000000" w:themeColor="text1" w:sz="8"/>
              <w:left w:val="single" w:color="000000" w:themeColor="text1" w:sz="8" w:space="0"/>
              <w:bottom w:val="nil" w:color="000000" w:themeColor="text1" w:sz="8"/>
              <w:right w:val="nil" w:color="000000" w:themeColor="text1" w:sz="8"/>
            </w:tcBorders>
            <w:shd w:val="clear" w:color="auto" w:fill="FFFFFF" w:themeFill="background1"/>
            <w:tcMar/>
          </w:tcPr>
          <w:p w:rsidRPr="00975B07" w:rsidR="00AD1529" w:rsidP="00AD1529" w:rsidRDefault="00AD1529" w14:paraId="032B9A03" w14:textId="77777777"/>
        </w:tc>
        <w:tc>
          <w:tcPr>
            <w:tcW w:w="8419" w:type="dxa"/>
            <w:gridSpan w:val="5"/>
            <w:tcBorders>
              <w:top w:val="nil" w:color="000000" w:themeColor="text1" w:sz="8"/>
              <w:left w:val="nil" w:color="000000" w:themeColor="text1" w:sz="8"/>
              <w:bottom w:val="nil" w:color="000000" w:themeColor="text1" w:sz="8"/>
              <w:right w:val="single" w:color="000000" w:themeColor="text1" w:sz="8" w:space="0"/>
            </w:tcBorders>
            <w:shd w:val="clear" w:color="auto" w:fill="FFFFFF" w:themeFill="background1"/>
            <w:tcMar/>
          </w:tcPr>
          <w:p w:rsidRPr="001356F1" w:rsidR="00AD1529" w:rsidP="00AD1529" w:rsidRDefault="00AD1529" w14:paraId="032B9A04" w14:textId="77777777"/>
        </w:tc>
      </w:tr>
      <w:tr w:rsidRPr="00975B07" w:rsidR="00AD1529" w:rsidTr="19AD6E9B" w14:paraId="032B9A08"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gridBefore w:val="2"/>
          <w:wBefore w:w="142" w:type="dxa"/>
          <w:trHeight w:val="173"/>
        </w:trPr>
        <w:tc>
          <w:tcPr>
            <w:tcW w:w="426" w:type="dxa"/>
            <w:tcBorders>
              <w:top w:val="nil" w:color="000000" w:themeColor="text1" w:sz="8"/>
              <w:left w:val="single" w:color="000000" w:themeColor="text1" w:sz="8" w:space="0"/>
              <w:bottom w:val="single" w:color="000000" w:themeColor="text1" w:sz="8" w:space="0"/>
              <w:right w:val="nil" w:color="000000" w:themeColor="text1" w:sz="8"/>
            </w:tcBorders>
            <w:shd w:val="clear" w:color="auto" w:fill="FFFFFF" w:themeFill="background1"/>
            <w:tcMar/>
          </w:tcPr>
          <w:p w:rsidRPr="00975B07" w:rsidR="00AD1529" w:rsidP="00AD1529" w:rsidRDefault="00AD1529" w14:paraId="032B9A06" w14:textId="77777777"/>
        </w:tc>
        <w:tc>
          <w:tcPr>
            <w:tcW w:w="8419" w:type="dxa"/>
            <w:gridSpan w:val="5"/>
            <w:tcBorders>
              <w:top w:val="nil" w:color="000000" w:themeColor="text1" w:sz="8"/>
              <w:left w:val="nil" w:color="000000" w:themeColor="text1" w:sz="8"/>
              <w:bottom w:val="single" w:color="000000" w:themeColor="text1" w:sz="8" w:space="0"/>
              <w:right w:val="single" w:color="000000" w:themeColor="text1" w:sz="8" w:space="0"/>
            </w:tcBorders>
            <w:shd w:val="clear" w:color="auto" w:fill="FFFFFF" w:themeFill="background1"/>
            <w:tcMar/>
          </w:tcPr>
          <w:p w:rsidRPr="001356F1" w:rsidR="00AD1529" w:rsidP="00AD1529" w:rsidRDefault="00AD1529" w14:paraId="032B9A07" w14:textId="77777777"/>
        </w:tc>
      </w:tr>
    </w:tbl>
    <w:p w:rsidRPr="009E51FC" w:rsidR="00CE544A" w:rsidP="004A6D2F" w:rsidRDefault="00CE544A" w14:paraId="032B9A09"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8"/>
        <w:gridCol w:w="6406"/>
      </w:tblGrid>
      <w:tr w:rsidRPr="00975B07" w:rsidR="00966D42" w:rsidTr="00A46E98" w14:paraId="032B9A0B" w14:textId="77777777">
        <w:tc>
          <w:tcPr>
            <w:tcW w:w="8844" w:type="dxa"/>
            <w:gridSpan w:val="2"/>
            <w:tcBorders>
              <w:top w:val="single" w:color="000000" w:sz="8" w:space="0"/>
              <w:left w:val="single" w:color="000000" w:sz="8" w:space="0"/>
              <w:bottom w:val="single" w:color="000000" w:sz="8" w:space="0"/>
              <w:right w:val="single" w:color="000000" w:sz="8" w:space="0"/>
            </w:tcBorders>
            <w:shd w:val="clear" w:color="auto" w:fill="auto"/>
          </w:tcPr>
          <w:p w:rsidRPr="00975B07" w:rsidR="00966D42" w:rsidP="00263EA3" w:rsidRDefault="00966D42" w14:paraId="032B9A0A" w14:textId="77777777">
            <w:pPr>
              <w:jc w:val="center"/>
            </w:pPr>
            <w:r w:rsidRPr="00745BF0">
              <w:rPr>
                <w:rStyle w:val="Firstpagetablebold"/>
              </w:rPr>
              <w:t>Appendices</w:t>
            </w:r>
          </w:p>
        </w:tc>
      </w:tr>
      <w:tr w:rsidRPr="00975B07" w:rsidR="00ED5860" w:rsidTr="00A46E98" w14:paraId="032B9A0E" w14:textId="77777777">
        <w:tc>
          <w:tcPr>
            <w:tcW w:w="2438" w:type="dxa"/>
            <w:tcBorders>
              <w:top w:val="single" w:color="000000" w:sz="8" w:space="0"/>
              <w:left w:val="single" w:color="000000" w:sz="8" w:space="0"/>
              <w:bottom w:val="nil"/>
              <w:right w:val="nil"/>
            </w:tcBorders>
            <w:shd w:val="clear" w:color="auto" w:fill="auto"/>
          </w:tcPr>
          <w:p w:rsidRPr="00975B07" w:rsidR="00ED5860" w:rsidP="004A6D2F" w:rsidRDefault="00ED5860" w14:paraId="032B9A0C" w14:textId="77777777">
            <w:r w:rsidRPr="00975B07">
              <w:t>Appendix 1</w:t>
            </w:r>
          </w:p>
        </w:tc>
        <w:tc>
          <w:tcPr>
            <w:tcW w:w="6406" w:type="dxa"/>
            <w:tcBorders>
              <w:top w:val="single" w:color="000000" w:sz="8" w:space="0"/>
              <w:left w:val="nil"/>
              <w:bottom w:val="nil"/>
              <w:right w:val="single" w:color="000000" w:sz="8" w:space="0"/>
            </w:tcBorders>
          </w:tcPr>
          <w:p w:rsidRPr="001356F1" w:rsidR="00ED5860" w:rsidP="004A6D2F" w:rsidRDefault="00D572E8" w14:paraId="032B9A0D" w14:textId="334F9D7B">
            <w:r>
              <w:t>Draft Land Quality Strategy 202</w:t>
            </w:r>
            <w:r w:rsidR="00B25C35">
              <w:t>5</w:t>
            </w:r>
          </w:p>
        </w:tc>
      </w:tr>
      <w:tr w:rsidRPr="00975B07" w:rsidR="00ED5860" w:rsidTr="00A46E98" w14:paraId="032B9A11" w14:textId="77777777">
        <w:tc>
          <w:tcPr>
            <w:tcW w:w="2438" w:type="dxa"/>
            <w:tcBorders>
              <w:top w:val="nil"/>
              <w:left w:val="single" w:color="000000" w:sz="8" w:space="0"/>
              <w:bottom w:val="nil"/>
              <w:right w:val="nil"/>
            </w:tcBorders>
            <w:shd w:val="clear" w:color="auto" w:fill="auto"/>
          </w:tcPr>
          <w:p w:rsidRPr="00975B07" w:rsidR="00ED5860" w:rsidP="004A6D2F" w:rsidRDefault="0030208D" w14:paraId="032B9A0F" w14:textId="77777777">
            <w:r w:rsidRPr="00975B07">
              <w:t>Appendix 2</w:t>
            </w:r>
          </w:p>
        </w:tc>
        <w:tc>
          <w:tcPr>
            <w:tcW w:w="6406" w:type="dxa"/>
            <w:tcBorders>
              <w:top w:val="nil"/>
              <w:left w:val="nil"/>
              <w:bottom w:val="nil"/>
              <w:right w:val="single" w:color="000000" w:sz="8" w:space="0"/>
            </w:tcBorders>
          </w:tcPr>
          <w:p w:rsidRPr="001356F1" w:rsidR="00ED5860" w:rsidP="004A6D2F" w:rsidRDefault="00D572E8" w14:paraId="032B9A10" w14:textId="77777777">
            <w:r>
              <w:t>Risk Register</w:t>
            </w:r>
          </w:p>
        </w:tc>
      </w:tr>
      <w:tr w:rsidRPr="00975B07" w:rsidR="0030208D" w:rsidTr="00A46E98" w14:paraId="032B9A14" w14:textId="77777777">
        <w:tc>
          <w:tcPr>
            <w:tcW w:w="2438" w:type="dxa"/>
            <w:tcBorders>
              <w:top w:val="nil"/>
              <w:left w:val="single" w:color="000000" w:sz="8" w:space="0"/>
              <w:bottom w:val="nil"/>
              <w:right w:val="nil"/>
            </w:tcBorders>
            <w:shd w:val="clear" w:color="auto" w:fill="auto"/>
          </w:tcPr>
          <w:p w:rsidRPr="00975B07" w:rsidR="0030208D" w:rsidP="004A6D2F" w:rsidRDefault="0030208D" w14:paraId="032B9A12" w14:textId="0A8205BD"/>
        </w:tc>
        <w:tc>
          <w:tcPr>
            <w:tcW w:w="6406" w:type="dxa"/>
            <w:tcBorders>
              <w:top w:val="nil"/>
              <w:left w:val="nil"/>
              <w:bottom w:val="nil"/>
              <w:right w:val="single" w:color="000000" w:sz="8" w:space="0"/>
            </w:tcBorders>
          </w:tcPr>
          <w:p w:rsidRPr="001356F1" w:rsidR="0030208D" w:rsidP="004A6D2F" w:rsidRDefault="0030208D" w14:paraId="032B9A13" w14:textId="77777777"/>
        </w:tc>
      </w:tr>
      <w:tr w:rsidRPr="00975B07" w:rsidR="0030208D" w:rsidTr="00A46E98" w14:paraId="032B9A17" w14:textId="77777777">
        <w:tc>
          <w:tcPr>
            <w:tcW w:w="2438" w:type="dxa"/>
            <w:tcBorders>
              <w:top w:val="nil"/>
              <w:left w:val="single" w:color="000000" w:sz="8" w:space="0"/>
              <w:bottom w:val="single" w:color="000000" w:sz="8" w:space="0"/>
              <w:right w:val="nil"/>
            </w:tcBorders>
            <w:shd w:val="clear" w:color="auto" w:fill="auto"/>
          </w:tcPr>
          <w:p w:rsidRPr="00975B07" w:rsidR="0030208D" w:rsidP="004A6D2F" w:rsidRDefault="0030208D" w14:paraId="032B9A15" w14:textId="3922D4F7"/>
        </w:tc>
        <w:tc>
          <w:tcPr>
            <w:tcW w:w="6406" w:type="dxa"/>
            <w:tcBorders>
              <w:top w:val="nil"/>
              <w:left w:val="nil"/>
              <w:bottom w:val="single" w:color="000000" w:sz="8" w:space="0"/>
              <w:right w:val="single" w:color="000000" w:sz="8" w:space="0"/>
            </w:tcBorders>
          </w:tcPr>
          <w:p w:rsidRPr="001356F1" w:rsidR="0030208D" w:rsidP="004A6D2F" w:rsidRDefault="0030208D" w14:paraId="032B9A16" w14:textId="77777777"/>
        </w:tc>
      </w:tr>
    </w:tbl>
    <w:p w:rsidRPr="001356F1" w:rsidR="0040736F" w:rsidP="00152961" w:rsidRDefault="004748FC" w14:paraId="032B9A18" w14:textId="2F26CCDC">
      <w:pPr>
        <w:pStyle w:val="Heading1"/>
      </w:pPr>
      <w:r>
        <w:t>Introduction</w:t>
      </w:r>
      <w:r w:rsidRPr="001356F1" w:rsidR="00404032">
        <w:t xml:space="preserve"> </w:t>
      </w:r>
      <w:r w:rsidR="009D44C1">
        <w:t>and Background</w:t>
      </w:r>
    </w:p>
    <w:p w:rsidR="00E87F7A" w:rsidP="00152961" w:rsidRDefault="00B37A65" w14:paraId="032B9A19" w14:textId="74C984F1">
      <w:pPr>
        <w:pStyle w:val="ListParagraph"/>
        <w:ind w:left="360"/>
      </w:pPr>
      <w:r w:rsidRPr="00B37A65">
        <w:t>There is a statutory requirement for the Council to have a Land Quality Strategy in accordance with national contaminated land legislation.  Part 2A of the Environmental Protection Act 1990(EPA) was introduced in April 2000 to provide a system for the identification and remediation of land with the potential to cause a risk to human health or the environment from contamination. The legislation places a duty on local authorities to produce a strategy outlining how it will identify and address potentially contaminated land in its district area</w:t>
      </w:r>
      <w:r w:rsidRPr="001356F1" w:rsidR="00E87F7A">
        <w:t>.</w:t>
      </w:r>
    </w:p>
    <w:p w:rsidR="004748FC" w:rsidP="009148BA" w:rsidRDefault="009148BA" w14:paraId="032B9A1A" w14:textId="7700A771">
      <w:pPr>
        <w:pStyle w:val="ListParagraph"/>
        <w:ind w:left="360"/>
      </w:pPr>
      <w:r w:rsidRPr="009148BA">
        <w:t>The proposed Land Quality Strategy seeks to provide a clear framework for addressing land contamination at a local level within the national policy framework. The Strategy has been developed following consultation with internal stakeholders.  The Strategy is required to be reviewed on a 5 yearly cycle.</w:t>
      </w:r>
    </w:p>
    <w:p w:rsidR="00152961" w:rsidP="00152961" w:rsidRDefault="008467D2" w14:paraId="032B9A1C" w14:textId="57F102D6">
      <w:pPr>
        <w:pStyle w:val="ListParagraph"/>
        <w:ind w:left="360"/>
        <w:rPr>
          <w:rStyle w:val="ListParagraphChar"/>
        </w:rPr>
      </w:pPr>
      <w:r>
        <w:t>The</w:t>
      </w:r>
      <w:r w:rsidRPr="004748FC" w:rsidR="004748FC">
        <w:t xml:space="preserve"> Council </w:t>
      </w:r>
      <w:r w:rsidR="002F5971">
        <w:t xml:space="preserve">first </w:t>
      </w:r>
      <w:r w:rsidRPr="004748FC" w:rsidR="004748FC">
        <w:t>published a Contaminated Land Ins</w:t>
      </w:r>
      <w:r w:rsidR="00152961">
        <w:t xml:space="preserve">pection Strategy in 2001 </w:t>
      </w:r>
      <w:r w:rsidR="004748FC">
        <w:t>and an updated Land Quality Strategy in 2014</w:t>
      </w:r>
      <w:r w:rsidR="002F5971">
        <w:t>. This was reviewed</w:t>
      </w:r>
      <w:r w:rsidR="0043518E">
        <w:t xml:space="preserve"> in December 2020.</w:t>
      </w:r>
      <w:r w:rsidR="004748FC">
        <w:t xml:space="preserve"> This</w:t>
      </w:r>
      <w:r w:rsidRPr="004748FC" w:rsidR="004748FC">
        <w:t xml:space="preserve"> proposed Draft Land Quality Strategy </w:t>
      </w:r>
      <w:r w:rsidR="004748FC">
        <w:t>202</w:t>
      </w:r>
      <w:r w:rsidR="002F5971">
        <w:t>5</w:t>
      </w:r>
      <w:r w:rsidR="004748FC">
        <w:t xml:space="preserve"> </w:t>
      </w:r>
      <w:r w:rsidR="00A004D1">
        <w:t>presents a</w:t>
      </w:r>
      <w:r w:rsidR="002F5971">
        <w:t xml:space="preserve"> minor</w:t>
      </w:r>
      <w:r w:rsidR="00A004D1">
        <w:t xml:space="preserve"> update to the 20</w:t>
      </w:r>
      <w:r w:rsidR="002F5971">
        <w:t>20</w:t>
      </w:r>
      <w:r w:rsidR="00A004D1">
        <w:t xml:space="preserve"> Strategy</w:t>
      </w:r>
      <w:r w:rsidRPr="004748FC" w:rsidR="004748FC">
        <w:t xml:space="preserve"> which is required following changes to </w:t>
      </w:r>
      <w:r w:rsidR="002F5971">
        <w:t xml:space="preserve">guidance and </w:t>
      </w:r>
      <w:r w:rsidRPr="004748FC" w:rsidR="004748FC">
        <w:t>legislation</w:t>
      </w:r>
      <w:r w:rsidRPr="001356F1" w:rsidR="00E87F7A">
        <w:rPr>
          <w:rStyle w:val="ListParagraphChar"/>
        </w:rPr>
        <w:t>.</w:t>
      </w:r>
    </w:p>
    <w:p w:rsidR="00152961" w:rsidP="00152961" w:rsidRDefault="004748FC" w14:paraId="032B9A1D" w14:textId="77777777">
      <w:pPr>
        <w:pStyle w:val="ListParagraph"/>
        <w:ind w:left="360"/>
      </w:pPr>
      <w:r w:rsidRPr="004748FC">
        <w:t>Since 2001 the City Council has prioritised over 800</w:t>
      </w:r>
      <w:r w:rsidR="00152961">
        <w:t xml:space="preserve"> potentially contaminated sites </w:t>
      </w:r>
      <w:r w:rsidRPr="004748FC">
        <w:t xml:space="preserve">according to risk and </w:t>
      </w:r>
      <w:r>
        <w:t>ten</w:t>
      </w:r>
      <w:r w:rsidRPr="004748FC">
        <w:t xml:space="preserve"> proactive investigations have been undertaken by the Council. No sites in Oxford have to date been determined as “contaminated land” as defined in the Act.</w:t>
      </w:r>
    </w:p>
    <w:p w:rsidR="004748FC" w:rsidP="00152961" w:rsidRDefault="004748FC" w14:paraId="032B9A1E" w14:textId="31613744">
      <w:pPr>
        <w:pStyle w:val="ListParagraph"/>
        <w:ind w:left="360"/>
      </w:pPr>
      <w:r w:rsidRPr="00C1721C">
        <w:t>The legal definition of “contaminated land” set out in the Act is as follows:</w:t>
      </w:r>
    </w:p>
    <w:p w:rsidRPr="00152961" w:rsidR="00152961" w:rsidP="00152961" w:rsidRDefault="00152961" w14:paraId="032B9A1F" w14:textId="77777777">
      <w:pPr>
        <w:ind w:left="360" w:hanging="360"/>
        <w:rPr>
          <w:i/>
        </w:rPr>
      </w:pPr>
      <w:r>
        <w:tab/>
      </w:r>
      <w:r w:rsidRPr="00152961">
        <w:rPr>
          <w:i/>
        </w:rPr>
        <w:t>“Any land which appears to the local authority in whose area it is situated to be in such a condition, by reason of substances in, on or under the land that (a) significant harm is being caused or there is a significant possibility of such harm being caused; or (b) significant pollution of controlled waters is being caused, or there is a significant possibility of such pollution being caused”</w:t>
      </w:r>
    </w:p>
    <w:p w:rsidR="00E87F7A" w:rsidP="004748FC" w:rsidRDefault="004748FC" w14:paraId="032B9A20" w14:textId="77777777">
      <w:pPr>
        <w:pStyle w:val="ListParagraph"/>
        <w:ind w:left="360"/>
      </w:pPr>
      <w:r w:rsidRPr="004748FC">
        <w:t>It is important to note that a site will not meet the definition of “contaminated land” just because contamination is found to be present. For a site to be determined as “Contaminated Land” it must be proven that there is a clear contaminant – pathway – receptor linkage and that significant harm (or significant possibility of significant harm) is being caused as a result</w:t>
      </w:r>
      <w:r>
        <w:t>.</w:t>
      </w:r>
    </w:p>
    <w:p w:rsidR="00152961" w:rsidP="00152961" w:rsidRDefault="00D41FC5" w14:paraId="032B9A21" w14:textId="678666F6">
      <w:pPr>
        <w:pStyle w:val="ListParagraph"/>
        <w:ind w:left="360"/>
      </w:pPr>
      <w:r>
        <w:t xml:space="preserve">In </w:t>
      </w:r>
      <w:r w:rsidR="00F83671">
        <w:t xml:space="preserve">December </w:t>
      </w:r>
      <w:r>
        <w:t>20</w:t>
      </w:r>
      <w:r w:rsidR="00F83671">
        <w:t>20</w:t>
      </w:r>
      <w:r w:rsidRPr="004748FC" w:rsidR="004748FC">
        <w:t xml:space="preserve"> </w:t>
      </w:r>
      <w:r w:rsidR="00F83671">
        <w:t>Cabinet</w:t>
      </w:r>
      <w:r w:rsidRPr="004748FC" w:rsidR="004748FC">
        <w:t xml:space="preserve"> approved a </w:t>
      </w:r>
      <w:r>
        <w:t>Land Quality Strategy</w:t>
      </w:r>
      <w:r w:rsidRPr="004748FC" w:rsidR="004748FC">
        <w:t xml:space="preserve"> for Oxford.  This report presents and recommends adoption of a</w:t>
      </w:r>
      <w:r w:rsidR="004748FC">
        <w:t>n updated</w:t>
      </w:r>
      <w:r w:rsidRPr="004748FC" w:rsidR="004748FC">
        <w:t xml:space="preserve"> Land Quality Strategy for Oxford. </w:t>
      </w:r>
      <w:r w:rsidR="00507A03">
        <w:t>Th</w:t>
      </w:r>
      <w:r w:rsidR="00AB54E0">
        <w:t>is</w:t>
      </w:r>
      <w:r>
        <w:t xml:space="preserve"> d</w:t>
      </w:r>
      <w:r w:rsidRPr="004748FC" w:rsidR="004748FC">
        <w:t>raft Land Quality</w:t>
      </w:r>
      <w:r w:rsidR="00162A36">
        <w:t xml:space="preserve"> </w:t>
      </w:r>
      <w:r w:rsidRPr="004748FC" w:rsidR="004748FC">
        <w:t>Strategy</w:t>
      </w:r>
      <w:r w:rsidR="004748FC">
        <w:t xml:space="preserve"> 202</w:t>
      </w:r>
      <w:r w:rsidR="003B0841">
        <w:t>5</w:t>
      </w:r>
      <w:r>
        <w:t xml:space="preserve"> represents a </w:t>
      </w:r>
      <w:r w:rsidR="003B0841">
        <w:t xml:space="preserve">very </w:t>
      </w:r>
      <w:r>
        <w:t>minor</w:t>
      </w:r>
      <w:r w:rsidRPr="004748FC" w:rsidR="004748FC">
        <w:t xml:space="preserve"> update to </w:t>
      </w:r>
      <w:r w:rsidR="00507A03">
        <w:t>the</w:t>
      </w:r>
      <w:r w:rsidRPr="004748FC" w:rsidR="004748FC">
        <w:t xml:space="preserve"> existing </w:t>
      </w:r>
      <w:r w:rsidR="00772B09">
        <w:t xml:space="preserve">Land Quality </w:t>
      </w:r>
      <w:r w:rsidRPr="004748FC" w:rsidR="004748FC">
        <w:t>strategy</w:t>
      </w:r>
      <w:r>
        <w:t>,</w:t>
      </w:r>
      <w:r w:rsidR="004748FC">
        <w:t xml:space="preserve"> </w:t>
      </w:r>
      <w:r w:rsidR="00772B09">
        <w:t xml:space="preserve">so </w:t>
      </w:r>
      <w:r w:rsidRPr="004748FC" w:rsidR="004748FC">
        <w:t>it is not proposed to hold a public</w:t>
      </w:r>
      <w:r>
        <w:t xml:space="preserve"> consultation</w:t>
      </w:r>
      <w:r w:rsidR="004748FC">
        <w:t>.</w:t>
      </w:r>
    </w:p>
    <w:p w:rsidR="006B2FEB" w:rsidP="00152961" w:rsidRDefault="006B2FEB" w14:paraId="108D8837" w14:textId="73782CC8">
      <w:pPr>
        <w:pStyle w:val="ListParagraph"/>
        <w:ind w:left="360"/>
      </w:pPr>
      <w:r>
        <w:t xml:space="preserve">The amendments to this strategy over the current strategy include updated links </w:t>
      </w:r>
      <w:r w:rsidR="006717A7">
        <w:t>to documents, updates to paragraph references within the National Planning Policy Framework</w:t>
      </w:r>
      <w:r>
        <w:t xml:space="preserve">, </w:t>
      </w:r>
      <w:r w:rsidR="00AB54E0">
        <w:t xml:space="preserve">a short paragraph about the potential impact of </w:t>
      </w:r>
      <w:r w:rsidR="002F60DA">
        <w:t>Local Government Reorganisation</w:t>
      </w:r>
      <w:r w:rsidR="00DC67FC">
        <w:t xml:space="preserve">, changes to </w:t>
      </w:r>
      <w:r>
        <w:t>formatting and</w:t>
      </w:r>
      <w:r w:rsidR="002A5465">
        <w:t xml:space="preserve"> </w:t>
      </w:r>
      <w:r w:rsidR="000F786D">
        <w:t>minor</w:t>
      </w:r>
      <w:r w:rsidR="002A5465">
        <w:t xml:space="preserve"> additions regarding sustainable remediation.</w:t>
      </w:r>
    </w:p>
    <w:p w:rsidRPr="00152961" w:rsidR="00152961" w:rsidP="002F5A82" w:rsidRDefault="00152961" w14:paraId="032B9A22" w14:textId="77777777">
      <w:pPr>
        <w:pStyle w:val="Heading1"/>
      </w:pPr>
      <w:r w:rsidRPr="00152961">
        <w:t>Strategy Aim</w:t>
      </w:r>
    </w:p>
    <w:p w:rsidRPr="00152961" w:rsidR="00152961" w:rsidP="00152961" w:rsidRDefault="00152961" w14:paraId="032B9A23" w14:textId="77777777">
      <w:pPr>
        <w:pStyle w:val="ListParagraph"/>
        <w:ind w:left="360"/>
      </w:pPr>
      <w:r w:rsidRPr="00152961">
        <w:t xml:space="preserve">To deliver an efficient and effective framework for managing land affected by contamination </w:t>
      </w:r>
      <w:proofErr w:type="gramStart"/>
      <w:r w:rsidRPr="00152961">
        <w:t>by;</w:t>
      </w:r>
      <w:proofErr w:type="gramEnd"/>
    </w:p>
    <w:p w:rsidRPr="00152961" w:rsidR="00152961" w:rsidP="00152961" w:rsidRDefault="00152961" w14:paraId="032B9A24" w14:textId="77777777">
      <w:pPr>
        <w:pStyle w:val="ListParagraph"/>
        <w:numPr>
          <w:ilvl w:val="0"/>
          <w:numId w:val="36"/>
        </w:numPr>
      </w:pPr>
      <w:r w:rsidRPr="00152961">
        <w:t xml:space="preserve">Using the development control regime wherever possible </w:t>
      </w:r>
      <w:proofErr w:type="gramStart"/>
      <w:r w:rsidRPr="00152961">
        <w:t>in order to</w:t>
      </w:r>
      <w:proofErr w:type="gramEnd"/>
      <w:r w:rsidRPr="00152961">
        <w:t xml:space="preserve"> assess and remediate land affected by contamination.</w:t>
      </w:r>
    </w:p>
    <w:p w:rsidR="00152961" w:rsidP="00152961" w:rsidRDefault="00152961" w14:paraId="032B9A25" w14:textId="77777777">
      <w:pPr>
        <w:pStyle w:val="ListParagraph"/>
        <w:numPr>
          <w:ilvl w:val="0"/>
          <w:numId w:val="36"/>
        </w:numPr>
      </w:pPr>
      <w:r w:rsidRPr="00152961">
        <w:t xml:space="preserve">Where this is not </w:t>
      </w:r>
      <w:proofErr w:type="gramStart"/>
      <w:r w:rsidRPr="00152961">
        <w:t>possible</w:t>
      </w:r>
      <w:proofErr w:type="gramEnd"/>
      <w:r w:rsidRPr="00152961">
        <w:t xml:space="preserve"> we will utilise powers under Part2a of the EPA (1990) in order to ensure contaminated land is fully remediated.</w:t>
      </w:r>
    </w:p>
    <w:p w:rsidR="00152961" w:rsidP="00152961" w:rsidRDefault="00152961" w14:paraId="032B9A26" w14:textId="77777777">
      <w:pPr>
        <w:pStyle w:val="ListParagraph"/>
        <w:numPr>
          <w:ilvl w:val="0"/>
          <w:numId w:val="0"/>
        </w:numPr>
      </w:pPr>
    </w:p>
    <w:p w:rsidRPr="00152961" w:rsidR="00152961" w:rsidP="004C010C" w:rsidRDefault="00152961" w14:paraId="032B9A27" w14:textId="77777777">
      <w:pPr>
        <w:pStyle w:val="Heading1"/>
      </w:pPr>
      <w:r w:rsidRPr="00152961">
        <w:t>Strategy Objectives</w:t>
      </w:r>
    </w:p>
    <w:p w:rsidR="00CB120D" w:rsidP="004748FC" w:rsidRDefault="00CB120D" w14:paraId="032B9A28" w14:textId="77777777">
      <w:pPr>
        <w:pStyle w:val="ListParagraph"/>
        <w:ind w:left="360"/>
      </w:pPr>
      <w:r>
        <w:t xml:space="preserve">The strategy contains the objectives below as the means to comply with our statutory duties both as enforcement authority and </w:t>
      </w:r>
      <w:proofErr w:type="gramStart"/>
      <w:r>
        <w:t>land owner</w:t>
      </w:r>
      <w:proofErr w:type="gramEnd"/>
      <w:r>
        <w:t>.</w:t>
      </w:r>
    </w:p>
    <w:p w:rsidR="00017B49" w:rsidP="00017B49" w:rsidRDefault="00017B49" w14:paraId="032B9A29" w14:textId="77777777">
      <w:pPr>
        <w:pStyle w:val="ListParagraph"/>
        <w:numPr>
          <w:ilvl w:val="0"/>
          <w:numId w:val="41"/>
        </w:numPr>
        <w:ind w:left="1097"/>
      </w:pPr>
      <w:r w:rsidRPr="00C1721C">
        <w:t>Objective 1 – To deal with land contamination through the development control and building control processes wherever possible.</w:t>
      </w:r>
    </w:p>
    <w:p w:rsidR="00017B49" w:rsidP="00017B49" w:rsidRDefault="00017B49" w14:paraId="032B9A2A" w14:textId="77777777">
      <w:pPr>
        <w:pStyle w:val="ListParagraph"/>
        <w:numPr>
          <w:ilvl w:val="0"/>
          <w:numId w:val="41"/>
        </w:numPr>
        <w:ind w:left="1097"/>
      </w:pPr>
      <w:r w:rsidRPr="00C1721C">
        <w:t xml:space="preserve">Objective 2 – To implement the Part 2A detailed inspection process where </w:t>
      </w:r>
      <w:r>
        <w:t xml:space="preserve">strong evidence becomes available that significant harm is occurring or will occur unless the council intervene, </w:t>
      </w:r>
      <w:r w:rsidRPr="00C1721C">
        <w:t>and remediation through planning, building control or voluntary action is not possible.</w:t>
      </w:r>
    </w:p>
    <w:p w:rsidR="00017B49" w:rsidP="00017B49" w:rsidRDefault="00017B49" w14:paraId="032B9A2B" w14:textId="77777777">
      <w:pPr>
        <w:pStyle w:val="ListParagraph"/>
        <w:numPr>
          <w:ilvl w:val="0"/>
          <w:numId w:val="41"/>
        </w:numPr>
        <w:ind w:left="1097"/>
      </w:pPr>
      <w:r w:rsidRPr="00C1721C">
        <w:t xml:space="preserve"> </w:t>
      </w:r>
      <w:r>
        <w:t>Objective 3 – To maintain and continue to update</w:t>
      </w:r>
      <w:r w:rsidRPr="00C1721C">
        <w:t xml:space="preserve"> a comprehensive land quality database for Oxford.</w:t>
      </w:r>
    </w:p>
    <w:p w:rsidR="00017B49" w:rsidP="00017B49" w:rsidRDefault="00017B49" w14:paraId="032B9A2C" w14:textId="77777777">
      <w:pPr>
        <w:pStyle w:val="ListParagraph"/>
        <w:numPr>
          <w:ilvl w:val="0"/>
          <w:numId w:val="41"/>
        </w:numPr>
        <w:ind w:left="1097"/>
      </w:pPr>
      <w:r w:rsidRPr="00C1721C">
        <w:t>Objective 4 – To promote the use of sustainable remediation where possible.</w:t>
      </w:r>
    </w:p>
    <w:p w:rsidR="00017B49" w:rsidP="00017B49" w:rsidRDefault="00017B49" w14:paraId="032B9A2D" w14:textId="77777777">
      <w:pPr>
        <w:pStyle w:val="ListParagraph"/>
        <w:numPr>
          <w:ilvl w:val="0"/>
          <w:numId w:val="41"/>
        </w:numPr>
        <w:ind w:left="1097"/>
      </w:pPr>
      <w:r w:rsidRPr="00762CE1">
        <w:t xml:space="preserve">Objective 5 – </w:t>
      </w:r>
      <w:r w:rsidRPr="007413D4">
        <w:t>To act as a responsible landowner to ensure the Council achieves full legal compliance.</w:t>
      </w:r>
    </w:p>
    <w:p w:rsidR="00152961" w:rsidP="00017B49" w:rsidRDefault="00017B49" w14:paraId="032B9A2E" w14:textId="77777777">
      <w:pPr>
        <w:pStyle w:val="ListParagraph"/>
        <w:ind w:left="360"/>
      </w:pPr>
      <w:r w:rsidRPr="00017B49">
        <w:rPr>
          <w:rFonts w:cs="Arial"/>
        </w:rPr>
        <w:t>The approach of the draft Strategy is to maximise redevelopment through the planning process to address contamination issues and to use Part 2A powers only where appropriate. Efficient information management is fundamental to applying the appropriate controls through the planning process to ensure affected land is made suitable for use.</w:t>
      </w:r>
    </w:p>
    <w:p w:rsidRPr="00017B49" w:rsidR="00017B49" w:rsidP="002F5A82" w:rsidRDefault="00017B49" w14:paraId="032B9A2F" w14:textId="77777777">
      <w:pPr>
        <w:pStyle w:val="Heading1"/>
      </w:pPr>
      <w:r w:rsidRPr="00017B49">
        <w:t>Review</w:t>
      </w:r>
    </w:p>
    <w:p w:rsidRPr="001312B2" w:rsidR="001312B2" w:rsidP="00CB120D" w:rsidRDefault="001312B2" w14:paraId="032B9A30" w14:textId="77777777">
      <w:pPr>
        <w:pStyle w:val="ListParagraph"/>
        <w:ind w:left="360"/>
      </w:pPr>
      <w:r w:rsidRPr="00017B49">
        <w:rPr>
          <w:rFonts w:cs="Arial"/>
        </w:rPr>
        <w:t xml:space="preserve">It is proposed to </w:t>
      </w:r>
      <w:r w:rsidRPr="00017B49" w:rsidR="00D572E8">
        <w:rPr>
          <w:rFonts w:cs="Arial"/>
        </w:rPr>
        <w:t xml:space="preserve">continue to </w:t>
      </w:r>
      <w:r w:rsidRPr="00017B49">
        <w:rPr>
          <w:rFonts w:cs="Arial"/>
        </w:rPr>
        <w:t>review the Strategy every 5 years</w:t>
      </w:r>
      <w:r w:rsidR="00E52AFE">
        <w:rPr>
          <w:rFonts w:cs="Arial"/>
        </w:rPr>
        <w:t xml:space="preserve"> or as required through changes to legislation or statutory guidance</w:t>
      </w:r>
      <w:r w:rsidRPr="00017B49">
        <w:rPr>
          <w:rFonts w:cs="Arial"/>
        </w:rPr>
        <w:t>.</w:t>
      </w:r>
    </w:p>
    <w:p w:rsidRPr="002F5A82" w:rsidR="00D572E8" w:rsidP="002F5A82" w:rsidRDefault="00D572E8" w14:paraId="032B9A31" w14:textId="77777777">
      <w:pPr>
        <w:pStyle w:val="Heading1"/>
        <w:rPr>
          <w:rStyle w:val="Firstpagetablebold"/>
          <w:b/>
        </w:rPr>
      </w:pPr>
      <w:r w:rsidRPr="002F5A82">
        <w:rPr>
          <w:rStyle w:val="Firstpagetablebold"/>
          <w:b/>
        </w:rPr>
        <w:t>Environmental Impact</w:t>
      </w:r>
      <w:r w:rsidRPr="002F5A82" w:rsidR="009E251D">
        <w:rPr>
          <w:rStyle w:val="Firstpagetablebold"/>
          <w:b/>
        </w:rPr>
        <w:t xml:space="preserve"> &amp; Sustainability</w:t>
      </w:r>
    </w:p>
    <w:p w:rsidRPr="00D572E8" w:rsidR="00D572E8" w:rsidP="00152961" w:rsidRDefault="00D572E8" w14:paraId="032B9A32" w14:textId="77777777">
      <w:pPr>
        <w:pStyle w:val="ListParagraph"/>
        <w:ind w:left="360"/>
        <w:rPr>
          <w:rFonts w:cs="Arial"/>
        </w:rPr>
      </w:pPr>
      <w:r w:rsidRPr="00D572E8">
        <w:rPr>
          <w:rFonts w:cs="Arial"/>
        </w:rPr>
        <w:t>The effective management of land affected by contamination positively contributes to reducing environmental impacts. Improving the quality of our soil and water resources leads to healthier ecosystems which increases our resilience to climate change.</w:t>
      </w:r>
    </w:p>
    <w:p w:rsidRPr="00D572E8" w:rsidR="00D572E8" w:rsidP="00152961" w:rsidRDefault="00D572E8" w14:paraId="032B9A33" w14:textId="77777777">
      <w:pPr>
        <w:pStyle w:val="ListParagraph"/>
        <w:ind w:left="360"/>
        <w:rPr>
          <w:rFonts w:cs="Arial"/>
        </w:rPr>
      </w:pPr>
      <w:r w:rsidRPr="00D572E8">
        <w:rPr>
          <w:rFonts w:cs="Arial"/>
        </w:rPr>
        <w:t xml:space="preserve">Re-using land and the redevelopment of brown-field sites, is by its nature a sustainable approach, and underlies the government’s commitment and overall objective to bring damaged land back into beneficial use. </w:t>
      </w:r>
    </w:p>
    <w:p w:rsidR="00D572E8" w:rsidP="00152961" w:rsidRDefault="00D572E8" w14:paraId="032B9A34" w14:textId="7A7611BF">
      <w:pPr>
        <w:pStyle w:val="ListParagraph"/>
        <w:ind w:left="360"/>
        <w:rPr>
          <w:rFonts w:cs="Arial"/>
        </w:rPr>
      </w:pPr>
      <w:r w:rsidRPr="00D572E8">
        <w:rPr>
          <w:rFonts w:cs="Arial"/>
        </w:rPr>
        <w:t>A commitment to encourage sustainable remediation methods as set out in the Strategy should contribute to reducing the amount of waste soils sent to landfill</w:t>
      </w:r>
      <w:r w:rsidR="009E251D">
        <w:rPr>
          <w:rFonts w:cs="Arial"/>
        </w:rPr>
        <w:t xml:space="preserve"> and reduce lorry movements associated with site re-development</w:t>
      </w:r>
      <w:r w:rsidRPr="00D572E8">
        <w:rPr>
          <w:rFonts w:cs="Arial"/>
        </w:rPr>
        <w:t xml:space="preserve">.  By reducing the amount of waste that </w:t>
      </w:r>
      <w:r w:rsidR="009E251D">
        <w:rPr>
          <w:rFonts w:cs="Arial"/>
        </w:rPr>
        <w:t>is sent</w:t>
      </w:r>
      <w:r w:rsidRPr="00D572E8">
        <w:rPr>
          <w:rFonts w:cs="Arial"/>
        </w:rPr>
        <w:t xml:space="preserve"> to landfill</w:t>
      </w:r>
      <w:r w:rsidR="009E251D">
        <w:rPr>
          <w:rFonts w:cs="Arial"/>
        </w:rPr>
        <w:t xml:space="preserve"> and reducing traffic movements we </w:t>
      </w:r>
      <w:r w:rsidRPr="00D572E8">
        <w:rPr>
          <w:rFonts w:cs="Arial"/>
        </w:rPr>
        <w:t xml:space="preserve">are helping to reduce the carbon footprint of </w:t>
      </w:r>
      <w:r w:rsidR="009E251D">
        <w:rPr>
          <w:rFonts w:cs="Arial"/>
        </w:rPr>
        <w:t>remediation</w:t>
      </w:r>
      <w:r w:rsidRPr="00D572E8">
        <w:rPr>
          <w:rFonts w:cs="Arial"/>
        </w:rPr>
        <w:t xml:space="preserve"> activities</w:t>
      </w:r>
      <w:r w:rsidR="00482F0B">
        <w:rPr>
          <w:rFonts w:cs="Arial"/>
        </w:rPr>
        <w:t xml:space="preserve"> and reduc</w:t>
      </w:r>
      <w:r w:rsidR="002620BC">
        <w:rPr>
          <w:rFonts w:cs="Arial"/>
        </w:rPr>
        <w:t>ing potential</w:t>
      </w:r>
      <w:r w:rsidR="00482F0B">
        <w:rPr>
          <w:rFonts w:cs="Arial"/>
        </w:rPr>
        <w:t xml:space="preserve"> impacts to air quality</w:t>
      </w:r>
      <w:r w:rsidR="002620BC">
        <w:rPr>
          <w:rFonts w:cs="Arial"/>
        </w:rPr>
        <w:t>.</w:t>
      </w:r>
    </w:p>
    <w:p w:rsidR="007D48CE" w:rsidP="007D48CE" w:rsidRDefault="007D48CE" w14:paraId="00810292" w14:textId="77777777">
      <w:pPr>
        <w:rPr>
          <w:rFonts w:cs="Arial"/>
        </w:rPr>
      </w:pPr>
    </w:p>
    <w:p w:rsidRPr="007D48CE" w:rsidR="007D48CE" w:rsidP="007D48CE" w:rsidRDefault="007D48CE" w14:paraId="08EFFF0E" w14:textId="77777777">
      <w:pPr>
        <w:rPr>
          <w:rFonts w:cs="Arial"/>
        </w:rPr>
      </w:pPr>
    </w:p>
    <w:p w:rsidRPr="002F5A82" w:rsidR="002F5A82" w:rsidP="002F5A82" w:rsidRDefault="002F5A82" w14:paraId="032B9A35" w14:textId="77777777">
      <w:pPr>
        <w:pStyle w:val="Heading1"/>
      </w:pPr>
      <w:r w:rsidRPr="002F5A82">
        <w:t>Consultation and Communications</w:t>
      </w:r>
    </w:p>
    <w:p w:rsidRPr="00D572E8" w:rsidR="002F5A82" w:rsidP="002F5A82" w:rsidRDefault="002F5A82" w14:paraId="032B9A36" w14:textId="138036D6">
      <w:pPr>
        <w:pStyle w:val="ListParagraph"/>
        <w:ind w:left="360"/>
      </w:pPr>
      <w:r>
        <w:t xml:space="preserve">Internal consultation with legal and finance will be completed in accordance with standard Council procedures. External consultation with nearby local authorities within Oxfordshire has also been completed. </w:t>
      </w:r>
      <w:r w:rsidRPr="002F5A82">
        <w:rPr>
          <w:rFonts w:cs="Arial"/>
        </w:rPr>
        <w:t>As the draft Land Quality Strategy 202</w:t>
      </w:r>
      <w:r w:rsidR="009B586A">
        <w:rPr>
          <w:rFonts w:cs="Arial"/>
        </w:rPr>
        <w:t>5</w:t>
      </w:r>
      <w:r w:rsidRPr="002F5A82">
        <w:rPr>
          <w:rFonts w:cs="Arial"/>
        </w:rPr>
        <w:t xml:space="preserve"> represents a minor update to an existing </w:t>
      </w:r>
      <w:r w:rsidR="004141A9">
        <w:rPr>
          <w:rFonts w:cs="Arial"/>
        </w:rPr>
        <w:t xml:space="preserve">approved </w:t>
      </w:r>
      <w:r w:rsidRPr="002F5A82">
        <w:rPr>
          <w:rFonts w:cs="Arial"/>
        </w:rPr>
        <w:t>strategy, it is not proposed to hold a public consultation.</w:t>
      </w:r>
    </w:p>
    <w:p w:rsidRPr="00EE2691" w:rsidR="001312B2" w:rsidP="002F5A82" w:rsidRDefault="001312B2" w14:paraId="032B9A38" w14:textId="77777777">
      <w:pPr>
        <w:pStyle w:val="Heading1"/>
      </w:pPr>
      <w:r w:rsidRPr="00EE2691">
        <w:t>Financial Implications</w:t>
      </w:r>
    </w:p>
    <w:p w:rsidRPr="001312B2" w:rsidR="001312B2" w:rsidP="00152961" w:rsidRDefault="001312B2" w14:paraId="032B9A39" w14:textId="2C4388B1">
      <w:pPr>
        <w:pStyle w:val="ListParagraph"/>
        <w:ind w:left="360"/>
        <w:rPr>
          <w:rFonts w:cs="Arial"/>
        </w:rPr>
      </w:pPr>
      <w:r w:rsidRPr="001312B2">
        <w:rPr>
          <w:rFonts w:cs="Arial"/>
        </w:rPr>
        <w:t xml:space="preserve">If land is determined as “contaminated land”, the Local Authority has a duty to secure remediation and to ensure the “appropriate person” (principally, the polluter) pays </w:t>
      </w:r>
      <w:r w:rsidR="00FD2B20">
        <w:rPr>
          <w:rFonts w:cs="Arial"/>
        </w:rPr>
        <w:t xml:space="preserve">for remediation </w:t>
      </w:r>
      <w:r w:rsidRPr="001312B2">
        <w:rPr>
          <w:rFonts w:cs="Arial"/>
        </w:rPr>
        <w:t xml:space="preserve">wherever possible. Where the polluter cannot be identified, the owner or occupier of the land may be liable. Detailed Inspection and remediation can be very </w:t>
      </w:r>
      <w:proofErr w:type="gramStart"/>
      <w:r w:rsidRPr="001312B2">
        <w:rPr>
          <w:rFonts w:cs="Arial"/>
        </w:rPr>
        <w:t>costly</w:t>
      </w:r>
      <w:proofErr w:type="gramEnd"/>
      <w:r w:rsidRPr="001312B2">
        <w:rPr>
          <w:rFonts w:cs="Arial"/>
        </w:rPr>
        <w:t xml:space="preserve"> and a significant part of the legislation</w:t>
      </w:r>
      <w:r w:rsidRPr="009577BF">
        <w:t xml:space="preserve"> is focused on identifying and recovering the costs of remediation from the appropriate person. </w:t>
      </w:r>
    </w:p>
    <w:p w:rsidRPr="00EE2691" w:rsidR="001312B2" w:rsidP="00EE2691" w:rsidRDefault="001312B2" w14:paraId="032B9A3A" w14:textId="3FE9B0D7">
      <w:pPr>
        <w:pStyle w:val="ListParagraph"/>
        <w:ind w:left="360"/>
        <w:jc w:val="both"/>
      </w:pPr>
      <w:r w:rsidRPr="00EE2691">
        <w:rPr>
          <w:rFonts w:cs="Arial"/>
        </w:rPr>
        <w:t xml:space="preserve">The </w:t>
      </w:r>
      <w:hyperlink w:history="1" r:id="rId11">
        <w:r w:rsidRPr="00944E14">
          <w:rPr>
            <w:rStyle w:val="Hyperlink"/>
            <w:rFonts w:cs="Arial"/>
          </w:rPr>
          <w:t>Contaminated Land Statutory Guidance 2012</w:t>
        </w:r>
      </w:hyperlink>
      <w:r w:rsidRPr="00EE2691">
        <w:rPr>
          <w:rFonts w:cs="Arial"/>
        </w:rPr>
        <w:t xml:space="preserve"> sets out that in general the enforcing authority should seek to recover all of its reasonable costs. However, it further states that the authority should “waive or reduce” the recovery of costs to avoid any undue hardship which the recovery may cause. Hardship should be </w:t>
      </w:r>
      <w:proofErr w:type="gramStart"/>
      <w:r w:rsidRPr="00EE2691">
        <w:rPr>
          <w:rFonts w:cs="Arial"/>
        </w:rPr>
        <w:t>taken into account</w:t>
      </w:r>
      <w:proofErr w:type="gramEnd"/>
      <w:r w:rsidRPr="00EE2691">
        <w:rPr>
          <w:rFonts w:cs="Arial"/>
        </w:rPr>
        <w:t xml:space="preserve"> for individuals, trusts, charities etc. The guidance states that “in making such decisions, the authority should bear in mind that recovery is not necessarily an “all or nothing” matter (i.e. where reasonable, appropriate persons can be made to pay part of the authority’s costs even if they cannot reasonably be made to pay </w:t>
      </w:r>
      <w:proofErr w:type="gramStart"/>
      <w:r w:rsidRPr="00EE2691">
        <w:rPr>
          <w:rFonts w:cs="Arial"/>
        </w:rPr>
        <w:t>all of</w:t>
      </w:r>
      <w:proofErr w:type="gramEnd"/>
      <w:r w:rsidRPr="00EE2691">
        <w:rPr>
          <w:rFonts w:cs="Arial"/>
        </w:rPr>
        <w:t xml:space="preserve"> the costs).” </w:t>
      </w:r>
    </w:p>
    <w:p w:rsidR="00EE2691" w:rsidP="009E251D" w:rsidRDefault="001312B2" w14:paraId="032B9A3B" w14:textId="6099916B">
      <w:pPr>
        <w:pStyle w:val="ListParagraph"/>
        <w:ind w:left="360"/>
        <w:rPr>
          <w:rFonts w:cs="Arial"/>
        </w:rPr>
      </w:pPr>
      <w:r w:rsidRPr="00EE2691">
        <w:rPr>
          <w:rFonts w:cs="Arial"/>
        </w:rPr>
        <w:t xml:space="preserve">It should be noted that </w:t>
      </w:r>
      <w:r w:rsidR="00781536">
        <w:rPr>
          <w:rFonts w:cs="Arial"/>
        </w:rPr>
        <w:t xml:space="preserve">it is theoretically possible that </w:t>
      </w:r>
      <w:r w:rsidR="003C20B1">
        <w:rPr>
          <w:rFonts w:cs="Arial"/>
        </w:rPr>
        <w:t>the</w:t>
      </w:r>
      <w:r w:rsidRPr="00EE2691">
        <w:rPr>
          <w:rFonts w:cs="Arial"/>
        </w:rPr>
        <w:t xml:space="preserve"> Council could be identified as the appropriate person as a landowner and/or as “the polluter” (e</w:t>
      </w:r>
      <w:r w:rsidR="00534E1C">
        <w:rPr>
          <w:rFonts w:cs="Arial"/>
        </w:rPr>
        <w:t>.</w:t>
      </w:r>
      <w:r w:rsidRPr="00EE2691">
        <w:rPr>
          <w:rFonts w:cs="Arial"/>
        </w:rPr>
        <w:t>g</w:t>
      </w:r>
      <w:r w:rsidR="00534E1C">
        <w:rPr>
          <w:rFonts w:cs="Arial"/>
        </w:rPr>
        <w:t>.</w:t>
      </w:r>
      <w:r w:rsidRPr="00EE2691">
        <w:rPr>
          <w:rFonts w:cs="Arial"/>
        </w:rPr>
        <w:t xml:space="preserve"> pollution from former </w:t>
      </w:r>
      <w:r w:rsidR="009E251D">
        <w:rPr>
          <w:rFonts w:cs="Arial"/>
        </w:rPr>
        <w:t xml:space="preserve">council </w:t>
      </w:r>
      <w:r w:rsidRPr="00EE2691">
        <w:rPr>
          <w:rFonts w:cs="Arial"/>
        </w:rPr>
        <w:t>landfill sites, council depots with fuel tanks etc</w:t>
      </w:r>
      <w:r w:rsidR="00534E1C">
        <w:rPr>
          <w:rFonts w:cs="Arial"/>
        </w:rPr>
        <w:t>.</w:t>
      </w:r>
      <w:r w:rsidRPr="00EE2691">
        <w:rPr>
          <w:rFonts w:cs="Arial"/>
        </w:rPr>
        <w:t>).</w:t>
      </w:r>
    </w:p>
    <w:p w:rsidRPr="00EE2691" w:rsidR="00EE2691" w:rsidP="009E251D" w:rsidRDefault="001312B2" w14:paraId="032B9A3C" w14:textId="77777777">
      <w:pPr>
        <w:pStyle w:val="ListParagraph"/>
        <w:ind w:left="360"/>
        <w:rPr>
          <w:rFonts w:cs="Arial"/>
        </w:rPr>
      </w:pPr>
      <w:r w:rsidRPr="009577BF">
        <w:t xml:space="preserve">To help cover the costs of investigation and remediation, local authorities have previously been able to apply for funds from </w:t>
      </w:r>
      <w:r w:rsidR="00017B49">
        <w:t>DEFRA</w:t>
      </w:r>
      <w:r w:rsidRPr="009577BF">
        <w:t xml:space="preserve">. However, in December 2013 this funding mechanism </w:t>
      </w:r>
      <w:r w:rsidR="00EE2691">
        <w:t>was</w:t>
      </w:r>
      <w:r w:rsidRPr="009577BF">
        <w:t xml:space="preserve"> removed. Should a </w:t>
      </w:r>
      <w:proofErr w:type="gramStart"/>
      <w:r w:rsidRPr="009577BF">
        <w:t>high risk</w:t>
      </w:r>
      <w:proofErr w:type="gramEnd"/>
      <w:r w:rsidRPr="009577BF">
        <w:t xml:space="preserve"> site be identified as needing further investigation and/or remediation there are now limited funding options for local authorities to manage the risks efficiently. </w:t>
      </w:r>
      <w:r>
        <w:t xml:space="preserve">Furthermore, in cost recovery, if hardship is to be </w:t>
      </w:r>
      <w:proofErr w:type="gramStart"/>
      <w:r>
        <w:t>taken into account</w:t>
      </w:r>
      <w:proofErr w:type="gramEnd"/>
      <w:r>
        <w:t>, the Council may need to be able to finance all or part of the work.</w:t>
      </w:r>
    </w:p>
    <w:p w:rsidRPr="00EE2691" w:rsidR="001312B2" w:rsidP="009E251D" w:rsidRDefault="001312B2" w14:paraId="032B9A3D" w14:textId="48DCA5B2">
      <w:pPr>
        <w:pStyle w:val="ListParagraph"/>
        <w:ind w:left="360"/>
        <w:rPr>
          <w:rFonts w:cs="Arial"/>
        </w:rPr>
      </w:pPr>
      <w:r w:rsidRPr="00EE2691">
        <w:rPr>
          <w:rFonts w:cs="Arial"/>
        </w:rPr>
        <w:t xml:space="preserve">The strategy proposes to encourage investigation and remediation through the planning process and through voluntary action and to only use Part 2A powers as a last resort. </w:t>
      </w:r>
      <w:r w:rsidR="00EE7657">
        <w:rPr>
          <w:rFonts w:cs="Arial"/>
        </w:rPr>
        <w:t>The Council does not</w:t>
      </w:r>
      <w:r w:rsidRPr="00EE2691">
        <w:rPr>
          <w:rFonts w:cs="Arial"/>
        </w:rPr>
        <w:t xml:space="preserve"> currently have any sites which have been identified as having a significant possibility of significant harm occurring. However, this may change as new information becomes available. </w:t>
      </w:r>
    </w:p>
    <w:p w:rsidR="00EE2691" w:rsidP="009E251D" w:rsidRDefault="001312B2" w14:paraId="032B9A3E" w14:textId="5EBA33BF">
      <w:pPr>
        <w:pStyle w:val="ListParagraph"/>
        <w:ind w:left="360"/>
        <w:rPr>
          <w:rFonts w:cs="Arial"/>
        </w:rPr>
      </w:pPr>
      <w:r w:rsidRPr="00EE2691">
        <w:rPr>
          <w:rFonts w:cs="Arial"/>
        </w:rPr>
        <w:t>The bulk of the workload of data management, planning control and review can be delivered within present funding levels</w:t>
      </w:r>
      <w:r w:rsidR="004D132D">
        <w:rPr>
          <w:rFonts w:cs="Arial"/>
        </w:rPr>
        <w:t>.</w:t>
      </w:r>
    </w:p>
    <w:p w:rsidR="001312B2" w:rsidP="009E251D" w:rsidRDefault="001312B2" w14:paraId="032B9A3F" w14:textId="47E7393D">
      <w:pPr>
        <w:pStyle w:val="ListParagraph"/>
        <w:ind w:left="360"/>
        <w:rPr>
          <w:rFonts w:cs="Arial"/>
        </w:rPr>
      </w:pPr>
      <w:r w:rsidRPr="00EE2691">
        <w:rPr>
          <w:rFonts w:cs="Arial"/>
        </w:rPr>
        <w:t xml:space="preserve">Funding is not available to cover action under Part 2A following the Governments withdrawal of grant money and it would therefore be prudent that the City Council ensure that contingency funding is made available </w:t>
      </w:r>
      <w:proofErr w:type="gramStart"/>
      <w:r w:rsidRPr="00EE2691">
        <w:rPr>
          <w:rFonts w:cs="Arial"/>
        </w:rPr>
        <w:t>in the event that</w:t>
      </w:r>
      <w:proofErr w:type="gramEnd"/>
      <w:r w:rsidRPr="00EE2691">
        <w:rPr>
          <w:rFonts w:cs="Arial"/>
        </w:rPr>
        <w:t xml:space="preserve"> action under Part 2A is required. Based upon previous experience it is estimated that the Council should be aware that </w:t>
      </w:r>
      <w:r w:rsidRPr="00EE2691" w:rsidR="00EE2691">
        <w:rPr>
          <w:rFonts w:cs="Arial"/>
        </w:rPr>
        <w:t>around £</w:t>
      </w:r>
      <w:r w:rsidR="00E52AFE">
        <w:rPr>
          <w:rFonts w:cs="Arial"/>
        </w:rPr>
        <w:t>1</w:t>
      </w:r>
      <w:r w:rsidRPr="00EE2691">
        <w:rPr>
          <w:rFonts w:cs="Arial"/>
        </w:rPr>
        <w:t xml:space="preserve">50k may be required for this purpose. </w:t>
      </w:r>
      <w:proofErr w:type="gramStart"/>
      <w:r w:rsidRPr="00EE2691">
        <w:rPr>
          <w:rFonts w:cs="Arial"/>
        </w:rPr>
        <w:t>In the event that</w:t>
      </w:r>
      <w:proofErr w:type="gramEnd"/>
      <w:r w:rsidRPr="00EE2691">
        <w:rPr>
          <w:rFonts w:cs="Arial"/>
        </w:rPr>
        <w:t xml:space="preserve"> this is required</w:t>
      </w:r>
      <w:r w:rsidR="009B6198">
        <w:rPr>
          <w:rFonts w:cs="Arial"/>
        </w:rPr>
        <w:t>,</w:t>
      </w:r>
      <w:r w:rsidRPr="00EE2691">
        <w:rPr>
          <w:rFonts w:cs="Arial"/>
        </w:rPr>
        <w:t xml:space="preserve"> then the Head of Finance </w:t>
      </w:r>
      <w:r w:rsidR="00E27D0D">
        <w:rPr>
          <w:rFonts w:cs="Arial"/>
        </w:rPr>
        <w:t xml:space="preserve">Services </w:t>
      </w:r>
      <w:r w:rsidRPr="00EE2691">
        <w:rPr>
          <w:rFonts w:cs="Arial"/>
        </w:rPr>
        <w:t>will arrange for this to be funded from reserves and contingencies.</w:t>
      </w:r>
    </w:p>
    <w:p w:rsidRPr="001356F1" w:rsidR="0040736F" w:rsidP="004A6D2F" w:rsidRDefault="00DA614B" w14:paraId="032B9A40" w14:textId="77777777">
      <w:pPr>
        <w:pStyle w:val="Heading1"/>
      </w:pPr>
      <w:r w:rsidRPr="001356F1">
        <w:t>Legal issues</w:t>
      </w:r>
    </w:p>
    <w:p w:rsidR="00D572E8" w:rsidP="009E251D" w:rsidRDefault="00D572E8" w14:paraId="032B9A41" w14:textId="77777777">
      <w:pPr>
        <w:pStyle w:val="ListParagraph"/>
        <w:ind w:left="360"/>
      </w:pPr>
      <w:r>
        <w:t>Under Part 2A of the Environmental Protection Act 1990, local authorities have a statutory duty to inspect their area with a view to identifying contaminated land and to do this in accordance with the Contaminated Land Statutory Guidance. The relevant sections of the Act include:</w:t>
      </w:r>
    </w:p>
    <w:p w:rsidR="00D572E8" w:rsidP="009E251D" w:rsidRDefault="00D572E8" w14:paraId="032B9A42" w14:textId="77777777">
      <w:pPr>
        <w:ind w:left="567"/>
      </w:pPr>
      <w:r>
        <w:t>(a) Section 78</w:t>
      </w:r>
      <w:proofErr w:type="gramStart"/>
      <w:r>
        <w:t>B(</w:t>
      </w:r>
      <w:proofErr w:type="gramEnd"/>
      <w:r>
        <w:t>1): Every local authority shall cause its area to be inspected from time to time for the purpose – (a) of identifying contaminated land; and (b) of enabling the authority to decide whether any such land is land which is required to be designated as a special site.</w:t>
      </w:r>
      <w:r w:rsidR="00110528">
        <w:t>*</w:t>
      </w:r>
      <w:r>
        <w:t xml:space="preserve"> </w:t>
      </w:r>
    </w:p>
    <w:p w:rsidR="00D572E8" w:rsidP="009E251D" w:rsidRDefault="00D572E8" w14:paraId="032B9A43" w14:textId="77777777">
      <w:pPr>
        <w:ind w:left="567"/>
      </w:pPr>
      <w:r>
        <w:t>(b) Section 78</w:t>
      </w:r>
      <w:proofErr w:type="gramStart"/>
      <w:r>
        <w:t>B(</w:t>
      </w:r>
      <w:proofErr w:type="gramEnd"/>
      <w:r>
        <w:t>2): In performing [these] functions… a local authority shall act in accordance with any guidance issued for the purpose by the Secretary of State.</w:t>
      </w:r>
    </w:p>
    <w:p w:rsidRPr="001356F1" w:rsidR="002329CF" w:rsidP="004A6D2F" w:rsidRDefault="002329CF" w14:paraId="032B9A44" w14:textId="77777777">
      <w:pPr>
        <w:pStyle w:val="Heading1"/>
      </w:pPr>
      <w:r w:rsidRPr="001356F1">
        <w:t>Level of risk</w:t>
      </w:r>
    </w:p>
    <w:p w:rsidR="00A42A37" w:rsidP="009E251D" w:rsidRDefault="00A42A37" w14:paraId="032B9A45" w14:textId="77777777">
      <w:pPr>
        <w:pStyle w:val="ListParagraph"/>
        <w:ind w:left="360"/>
      </w:pPr>
      <w:r w:rsidRPr="001312B2">
        <w:t xml:space="preserve">The </w:t>
      </w:r>
      <w:r w:rsidR="00E52AFE">
        <w:t>updated</w:t>
      </w:r>
      <w:r w:rsidRPr="001312B2">
        <w:t xml:space="preserve"> land quality strategy sets out our statutory responsibilities and how we intend to meet them. The adoption of the strategy itself should reduce reputational risk to the council by communicating our roles and responsibilities clearly. The Strategy also clearly explains the definition of contaminated land in a legal sense, which should help to clarify possible misconceptions surrounding contaminated land responsibilities and management.  However, there are potentially significant reputational and financial risks to Oxford City Council if contaminated land is not managed appropriately.</w:t>
      </w:r>
    </w:p>
    <w:p w:rsidRPr="001312B2" w:rsidR="00A42A37" w:rsidP="009E251D" w:rsidRDefault="00A42A37" w14:paraId="032B9A46" w14:textId="432388B5">
      <w:pPr>
        <w:pStyle w:val="ListParagraph"/>
        <w:ind w:left="360"/>
      </w:pPr>
      <w:r w:rsidRPr="00A42A37">
        <w:rPr>
          <w:rFonts w:cs="Arial"/>
        </w:rPr>
        <w:t>There are potentially significant financial implications of undertaking Part 2A work. Our responsibilities under Part 2A are not new but changes to the statutory guidance and limited government financial support for the regime mean that there rem</w:t>
      </w:r>
      <w:r w:rsidR="00E52AFE">
        <w:rPr>
          <w:rFonts w:cs="Arial"/>
        </w:rPr>
        <w:t>ains a degree of financial risk</w:t>
      </w:r>
      <w:r w:rsidRPr="00A42A37">
        <w:rPr>
          <w:rFonts w:cs="Arial"/>
        </w:rPr>
        <w:t xml:space="preserve"> for local authorities. The adoption of the strategy should enable </w:t>
      </w:r>
      <w:r w:rsidR="0083315E">
        <w:rPr>
          <w:rFonts w:cs="Arial"/>
        </w:rPr>
        <w:t>the</w:t>
      </w:r>
      <w:r w:rsidRPr="00A42A37">
        <w:rPr>
          <w:rFonts w:cs="Arial"/>
        </w:rPr>
        <w:t xml:space="preserve"> Council to be better prepared </w:t>
      </w:r>
      <w:proofErr w:type="gramStart"/>
      <w:r w:rsidRPr="00A42A37">
        <w:rPr>
          <w:rFonts w:cs="Arial"/>
        </w:rPr>
        <w:t>in the event that</w:t>
      </w:r>
      <w:proofErr w:type="gramEnd"/>
      <w:r w:rsidRPr="00A42A37">
        <w:rPr>
          <w:rFonts w:cs="Arial"/>
        </w:rPr>
        <w:t xml:space="preserve"> a significant issue relating to land contamination occurs.  </w:t>
      </w:r>
    </w:p>
    <w:p w:rsidR="00A42A37" w:rsidP="009E251D" w:rsidRDefault="00A42A37" w14:paraId="032B9A47" w14:textId="77777777">
      <w:pPr>
        <w:pStyle w:val="ListParagraph"/>
        <w:ind w:left="360"/>
        <w:rPr>
          <w:rFonts w:cs="Arial"/>
        </w:rPr>
      </w:pPr>
      <w:r w:rsidRPr="001312B2">
        <w:rPr>
          <w:rFonts w:cs="Arial"/>
        </w:rPr>
        <w:t xml:space="preserve">The emphasis on using the development control process to remediate land should minimise this risk and ensure that </w:t>
      </w:r>
      <w:proofErr w:type="gramStart"/>
      <w:r w:rsidRPr="001312B2">
        <w:rPr>
          <w:rFonts w:cs="Arial"/>
        </w:rPr>
        <w:t>land owners</w:t>
      </w:r>
      <w:proofErr w:type="gramEnd"/>
      <w:r w:rsidRPr="001312B2">
        <w:rPr>
          <w:rFonts w:cs="Arial"/>
        </w:rPr>
        <w:t xml:space="preserve"> and developers bear this cost rather than local tax payers.</w:t>
      </w:r>
    </w:p>
    <w:p w:rsidRPr="0079526B" w:rsidR="0079526B" w:rsidP="0079526B" w:rsidRDefault="0079526B" w14:paraId="0727CB91" w14:textId="20A036C7">
      <w:pPr>
        <w:pStyle w:val="ListParagraph"/>
        <w:numPr>
          <w:ilvl w:val="0"/>
          <w:numId w:val="42"/>
        </w:numPr>
        <w:ind w:left="360"/>
        <w:rPr>
          <w:rFonts w:cs="Arial"/>
        </w:rPr>
      </w:pPr>
      <w:r>
        <w:t xml:space="preserve">The financial risks associated with these statutory duties have been mitigated by </w:t>
      </w:r>
      <w:r>
        <w:tab/>
      </w:r>
      <w:r>
        <w:t xml:space="preserve">previous actions to identify and assess sites so that there is now a good level of </w:t>
      </w:r>
      <w:r>
        <w:tab/>
      </w:r>
      <w:r>
        <w:t xml:space="preserve">knowledge about </w:t>
      </w:r>
      <w:r w:rsidR="00063BF3">
        <w:t xml:space="preserve">potentially contaminated </w:t>
      </w:r>
      <w:r>
        <w:t>sites in the city.</w:t>
      </w:r>
    </w:p>
    <w:p w:rsidR="006926A4" w:rsidP="009E251D" w:rsidRDefault="006926A4" w14:paraId="471BBCEC" w14:textId="3BFB762F">
      <w:pPr>
        <w:pStyle w:val="ListParagraph"/>
        <w:ind w:left="360"/>
        <w:rPr>
          <w:rFonts w:cs="Arial"/>
        </w:rPr>
      </w:pPr>
      <w:r w:rsidRPr="006926A4">
        <w:rPr>
          <w:rFonts w:cs="Arial"/>
        </w:rPr>
        <w:t xml:space="preserve">The progress of local government reorganisation and devolution </w:t>
      </w:r>
      <w:r w:rsidR="007A3B47">
        <w:rPr>
          <w:rFonts w:cs="Arial"/>
        </w:rPr>
        <w:t xml:space="preserve">should not </w:t>
      </w:r>
      <w:r w:rsidR="004E62C6">
        <w:rPr>
          <w:rFonts w:cs="Arial"/>
        </w:rPr>
        <w:t xml:space="preserve">significantly </w:t>
      </w:r>
      <w:r w:rsidRPr="006926A4">
        <w:rPr>
          <w:rFonts w:cs="Arial"/>
        </w:rPr>
        <w:t xml:space="preserve">impact the </w:t>
      </w:r>
      <w:r w:rsidR="00A24DD9">
        <w:rPr>
          <w:rFonts w:cs="Arial"/>
        </w:rPr>
        <w:t xml:space="preserve">overall strategic aims of the Land Quality Strategy since all local authorities </w:t>
      </w:r>
      <w:r w:rsidR="00F135C6">
        <w:rPr>
          <w:rFonts w:cs="Arial"/>
        </w:rPr>
        <w:t>require</w:t>
      </w:r>
      <w:r w:rsidR="00A24DD9">
        <w:rPr>
          <w:rFonts w:cs="Arial"/>
        </w:rPr>
        <w:t xml:space="preserve"> one</w:t>
      </w:r>
      <w:r w:rsidR="00F135C6">
        <w:rPr>
          <w:rFonts w:cs="Arial"/>
        </w:rPr>
        <w:t xml:space="preserve">. </w:t>
      </w:r>
      <w:r w:rsidR="00A24DD9">
        <w:rPr>
          <w:rFonts w:cs="Arial"/>
        </w:rPr>
        <w:t xml:space="preserve"> </w:t>
      </w:r>
      <w:proofErr w:type="gramStart"/>
      <w:r w:rsidR="007834C8">
        <w:rPr>
          <w:rFonts w:cs="Arial"/>
        </w:rPr>
        <w:t>However</w:t>
      </w:r>
      <w:proofErr w:type="gramEnd"/>
      <w:r w:rsidR="007834C8">
        <w:rPr>
          <w:rFonts w:cs="Arial"/>
        </w:rPr>
        <w:t xml:space="preserve"> it</w:t>
      </w:r>
      <w:r w:rsidRPr="00F135C6" w:rsidR="00F135C6">
        <w:rPr>
          <w:rFonts w:cs="Arial"/>
        </w:rPr>
        <w:t xml:space="preserve"> is highly likely that responsibility for the </w:t>
      </w:r>
      <w:r w:rsidR="007834C8">
        <w:rPr>
          <w:rFonts w:cs="Arial"/>
        </w:rPr>
        <w:t>delivery</w:t>
      </w:r>
      <w:r w:rsidRPr="00F135C6" w:rsidR="00F135C6">
        <w:rPr>
          <w:rFonts w:cs="Arial"/>
        </w:rPr>
        <w:t xml:space="preserve"> of the </w:t>
      </w:r>
      <w:r w:rsidR="00F135C6">
        <w:rPr>
          <w:rFonts w:cs="Arial"/>
        </w:rPr>
        <w:t>Land Quality Strategy</w:t>
      </w:r>
      <w:r w:rsidRPr="00F135C6" w:rsidR="00F135C6">
        <w:rPr>
          <w:rFonts w:cs="Arial"/>
        </w:rPr>
        <w:t xml:space="preserve"> will fall to the successor authority</w:t>
      </w:r>
      <w:r w:rsidR="00A24DD9">
        <w:rPr>
          <w:rFonts w:cs="Arial"/>
        </w:rPr>
        <w:t xml:space="preserve"> </w:t>
      </w:r>
      <w:r w:rsidR="007834C8">
        <w:rPr>
          <w:rFonts w:cs="Arial"/>
        </w:rPr>
        <w:t xml:space="preserve">and </w:t>
      </w:r>
      <w:r w:rsidR="00A24DD9">
        <w:rPr>
          <w:rFonts w:cs="Arial"/>
        </w:rPr>
        <w:t xml:space="preserve">there </w:t>
      </w:r>
      <w:r w:rsidR="00A543E2">
        <w:rPr>
          <w:rFonts w:cs="Arial"/>
        </w:rPr>
        <w:t>will likely</w:t>
      </w:r>
      <w:r w:rsidR="00A24DD9">
        <w:rPr>
          <w:rFonts w:cs="Arial"/>
        </w:rPr>
        <w:t xml:space="preserve"> be a requirement for amalgamation</w:t>
      </w:r>
      <w:r w:rsidRPr="006926A4">
        <w:rPr>
          <w:rFonts w:cs="Arial"/>
        </w:rPr>
        <w:t xml:space="preserve"> </w:t>
      </w:r>
      <w:r w:rsidR="00A543E2">
        <w:rPr>
          <w:rFonts w:cs="Arial"/>
        </w:rPr>
        <w:t xml:space="preserve">of </w:t>
      </w:r>
      <w:r w:rsidR="00B970E7">
        <w:rPr>
          <w:rFonts w:cs="Arial"/>
        </w:rPr>
        <w:t xml:space="preserve">those </w:t>
      </w:r>
      <w:r w:rsidR="00CE68B7">
        <w:rPr>
          <w:rFonts w:cs="Arial"/>
        </w:rPr>
        <w:t xml:space="preserve">local authority Land Quality Strategies </w:t>
      </w:r>
      <w:r w:rsidR="00B970E7">
        <w:rPr>
          <w:rFonts w:cs="Arial"/>
        </w:rPr>
        <w:t>that exis</w:t>
      </w:r>
      <w:r w:rsidR="00A543E2">
        <w:rPr>
          <w:rFonts w:cs="Arial"/>
        </w:rPr>
        <w:t xml:space="preserve">t </w:t>
      </w:r>
      <w:r w:rsidR="00B970E7">
        <w:rPr>
          <w:rFonts w:cs="Arial"/>
        </w:rPr>
        <w:t>following local government reorganisation</w:t>
      </w:r>
      <w:r w:rsidR="00A543E2">
        <w:rPr>
          <w:rFonts w:cs="Arial"/>
        </w:rPr>
        <w:t xml:space="preserve"> and consequent adoptio</w:t>
      </w:r>
      <w:r w:rsidR="003B034A">
        <w:rPr>
          <w:rFonts w:cs="Arial"/>
        </w:rPr>
        <w:t>n by the new successor authority</w:t>
      </w:r>
      <w:r w:rsidR="00B970E7">
        <w:rPr>
          <w:rFonts w:cs="Arial"/>
        </w:rPr>
        <w:t>.</w:t>
      </w:r>
    </w:p>
    <w:p w:rsidRPr="00A42A37" w:rsidR="00A42A37" w:rsidP="009E251D" w:rsidRDefault="00A42A37" w14:paraId="032B9A48" w14:textId="77777777">
      <w:pPr>
        <w:pStyle w:val="ListParagraph"/>
        <w:ind w:left="360"/>
        <w:rPr>
          <w:rFonts w:cs="Arial"/>
        </w:rPr>
      </w:pPr>
      <w:r w:rsidRPr="001312B2">
        <w:rPr>
          <w:rFonts w:cs="Arial"/>
        </w:rPr>
        <w:t>A risk register has been completed and is available to view in Appendix 2.</w:t>
      </w:r>
    </w:p>
    <w:p w:rsidRPr="001356F1" w:rsidR="002329CF" w:rsidP="0050321C" w:rsidRDefault="002329CF" w14:paraId="032B9A49" w14:textId="77777777">
      <w:pPr>
        <w:pStyle w:val="Heading1"/>
      </w:pPr>
      <w:r w:rsidRPr="001356F1">
        <w:t xml:space="preserve">Equalities impact </w:t>
      </w:r>
    </w:p>
    <w:p w:rsidRPr="00916441" w:rsidR="00D572E8" w:rsidP="009E251D" w:rsidRDefault="00C1038F" w14:paraId="032B9A4A" w14:textId="00062D05">
      <w:pPr>
        <w:pStyle w:val="ListParagraph"/>
        <w:ind w:left="360"/>
      </w:pPr>
      <w:r w:rsidRPr="00C1038F">
        <w:t xml:space="preserve">An Equalities Impact Assessment was carried out prior to the previous Strategy being adopted by the City Executive Board in 2014. No equalities impacts were identified at the time. The updated Strategy contains only minor amendments from </w:t>
      </w:r>
      <w:r w:rsidRPr="00C1038F">
        <w:t xml:space="preserve">the previous </w:t>
      </w:r>
      <w:r w:rsidR="005F4E9E">
        <w:t>Strategy</w:t>
      </w:r>
      <w:r w:rsidRPr="00C1038F">
        <w:t xml:space="preserve"> which are not expected to impact on </w:t>
      </w:r>
      <w:proofErr w:type="gramStart"/>
      <w:r w:rsidRPr="00C1038F">
        <w:t>equalities</w:t>
      </w:r>
      <w:proofErr w:type="gramEnd"/>
      <w:r w:rsidRPr="00C1038F">
        <w:t xml:space="preserve"> so a further Equalities Impact Assessment has not been considered necessary</w:t>
      </w:r>
      <w:r>
        <w:t>.</w:t>
      </w:r>
      <w:r w:rsidRPr="00796553" w:rsidR="00D572E8">
        <w:rPr>
          <w:color w:val="FF0000"/>
        </w:rPr>
        <w:t xml:space="preserve"> </w:t>
      </w:r>
    </w:p>
    <w:p w:rsidR="00742E29" w:rsidP="00916441" w:rsidRDefault="00742E29" w14:paraId="4818DBF3" w14:textId="77777777">
      <w:pPr>
        <w:pStyle w:val="bParagraphtext"/>
        <w:rPr>
          <w:b/>
        </w:rPr>
      </w:pPr>
      <w:bookmarkStart w:name="_Hlk184712246" w:id="0"/>
    </w:p>
    <w:bookmarkEnd w:id="0"/>
    <w:p w:rsidRPr="00110528" w:rsidR="00110528" w:rsidP="00110528" w:rsidRDefault="00110528" w14:paraId="032B9A4B" w14:textId="77777777">
      <w:pPr>
        <w:autoSpaceDE w:val="0"/>
        <w:autoSpaceDN w:val="0"/>
        <w:adjustRightInd w:val="0"/>
        <w:rPr>
          <w:sz w:val="20"/>
          <w:szCs w:val="20"/>
        </w:rPr>
      </w:pPr>
      <w:r>
        <w:rPr>
          <w:rStyle w:val="FootnoteReference"/>
          <w:sz w:val="20"/>
          <w:szCs w:val="20"/>
        </w:rPr>
        <w:t>*</w:t>
      </w:r>
      <w:r w:rsidRPr="00110528">
        <w:rPr>
          <w:sz w:val="20"/>
          <w:szCs w:val="20"/>
        </w:rPr>
        <w:t xml:space="preserve"> </w:t>
      </w:r>
      <w:r w:rsidRPr="00110528">
        <w:rPr>
          <w:i/>
          <w:iCs/>
          <w:sz w:val="20"/>
          <w:szCs w:val="20"/>
        </w:rPr>
        <w:t xml:space="preserve">Special sites </w:t>
      </w:r>
      <w:r w:rsidRPr="00110528">
        <w:rPr>
          <w:sz w:val="20"/>
          <w:szCs w:val="20"/>
        </w:rPr>
        <w:t>are cases of land contamination where the Environment Agency is the enforcing authority for the purposes of the Part 2A regime.</w:t>
      </w:r>
    </w:p>
    <w:p w:rsidR="00E206D6" w:rsidP="00E206D6" w:rsidRDefault="00E206D6" w14:paraId="032B9A4C" w14:textId="77777777">
      <w:pPr>
        <w:pStyle w:val="ListParagraph"/>
        <w:numPr>
          <w:ilvl w:val="0"/>
          <w:numId w:val="0"/>
        </w:numPr>
        <w:ind w:left="426"/>
      </w:pPr>
    </w:p>
    <w:p w:rsidR="00E52AFE" w:rsidP="00E206D6" w:rsidRDefault="00E52AFE" w14:paraId="032B9A4D" w14:textId="77777777">
      <w:pPr>
        <w:pStyle w:val="ListParagraph"/>
        <w:numPr>
          <w:ilvl w:val="0"/>
          <w:numId w:val="0"/>
        </w:numPr>
        <w:ind w:left="426"/>
      </w:pPr>
    </w:p>
    <w:p w:rsidR="00E52AFE" w:rsidP="00E206D6" w:rsidRDefault="00E52AFE" w14:paraId="032B9A4E" w14:textId="77777777">
      <w:pPr>
        <w:pStyle w:val="ListParagraph"/>
        <w:numPr>
          <w:ilvl w:val="0"/>
          <w:numId w:val="0"/>
        </w:numPr>
        <w:ind w:left="426"/>
      </w:pPr>
    </w:p>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DF093E" w:rsidTr="00A46E98" w14:paraId="032B9A57" w14:textId="77777777">
        <w:trPr>
          <w:cantSplit/>
          <w:trHeight w:val="396"/>
        </w:trPr>
        <w:tc>
          <w:tcPr>
            <w:tcW w:w="3969" w:type="dxa"/>
            <w:tcBorders>
              <w:top w:val="single" w:color="000000" w:sz="8" w:space="0"/>
              <w:left w:val="single" w:color="000000" w:sz="8" w:space="0"/>
              <w:bottom w:val="single" w:color="000000" w:sz="8" w:space="0"/>
              <w:right w:val="nil"/>
            </w:tcBorders>
            <w:shd w:val="clear" w:color="auto" w:fill="auto"/>
          </w:tcPr>
          <w:p w:rsidRPr="001356F1" w:rsidR="00E87F7A" w:rsidP="00A46E98" w:rsidRDefault="00E87F7A" w14:paraId="032B9A55" w14:textId="77777777">
            <w:pPr>
              <w:rPr>
                <w:b/>
              </w:rPr>
            </w:pPr>
            <w:r w:rsidRPr="001356F1">
              <w:rPr>
                <w:b/>
              </w:rPr>
              <w:t>Report author</w:t>
            </w:r>
          </w:p>
        </w:tc>
        <w:tc>
          <w:tcPr>
            <w:tcW w:w="4962" w:type="dxa"/>
            <w:tcBorders>
              <w:top w:val="single" w:color="000000" w:sz="8" w:space="0"/>
              <w:left w:val="nil"/>
              <w:bottom w:val="single" w:color="000000" w:sz="8" w:space="0"/>
              <w:right w:val="single" w:color="000000" w:sz="8" w:space="0"/>
            </w:tcBorders>
            <w:shd w:val="clear" w:color="auto" w:fill="auto"/>
          </w:tcPr>
          <w:p w:rsidRPr="001356F1" w:rsidR="00E87F7A" w:rsidP="00A46E98" w:rsidRDefault="00110528" w14:paraId="032B9A56" w14:textId="77777777">
            <w:r>
              <w:t>Paul Scott</w:t>
            </w:r>
          </w:p>
        </w:tc>
      </w:tr>
      <w:tr w:rsidRPr="001356F1" w:rsidR="00DF093E" w:rsidTr="00A46E98" w14:paraId="032B9A5A" w14:textId="77777777">
        <w:trPr>
          <w:cantSplit/>
          <w:trHeight w:val="396"/>
        </w:trPr>
        <w:tc>
          <w:tcPr>
            <w:tcW w:w="3969" w:type="dxa"/>
            <w:tcBorders>
              <w:top w:val="single" w:color="000000" w:sz="8" w:space="0"/>
              <w:left w:val="single" w:color="000000" w:sz="8" w:space="0"/>
              <w:bottom w:val="nil"/>
              <w:right w:val="nil"/>
            </w:tcBorders>
            <w:shd w:val="clear" w:color="auto" w:fill="auto"/>
          </w:tcPr>
          <w:p w:rsidRPr="001356F1" w:rsidR="00E87F7A" w:rsidP="00A46E98" w:rsidRDefault="00E87F7A" w14:paraId="032B9A58" w14:textId="77777777">
            <w:r w:rsidRPr="001356F1">
              <w:t>Job title</w:t>
            </w:r>
          </w:p>
        </w:tc>
        <w:tc>
          <w:tcPr>
            <w:tcW w:w="4962" w:type="dxa"/>
            <w:tcBorders>
              <w:top w:val="single" w:color="000000" w:sz="8" w:space="0"/>
              <w:left w:val="nil"/>
              <w:bottom w:val="nil"/>
              <w:right w:val="single" w:color="000000" w:sz="8" w:space="0"/>
            </w:tcBorders>
            <w:shd w:val="clear" w:color="auto" w:fill="auto"/>
          </w:tcPr>
          <w:p w:rsidRPr="001356F1" w:rsidR="00E87F7A" w:rsidP="00A46E98" w:rsidRDefault="002A1152" w14:paraId="032B9A59" w14:textId="0B419C25">
            <w:r>
              <w:t xml:space="preserve">Principal </w:t>
            </w:r>
            <w:r w:rsidR="00110528">
              <w:t>Land Quality Officer</w:t>
            </w:r>
          </w:p>
        </w:tc>
      </w:tr>
      <w:tr w:rsidRPr="001356F1" w:rsidR="00DF093E" w:rsidTr="00A46E98" w14:paraId="032B9A5D" w14:textId="77777777">
        <w:trPr>
          <w:cantSplit/>
          <w:trHeight w:val="396"/>
        </w:trPr>
        <w:tc>
          <w:tcPr>
            <w:tcW w:w="3969" w:type="dxa"/>
            <w:tcBorders>
              <w:top w:val="nil"/>
              <w:left w:val="single" w:color="000000" w:sz="8" w:space="0"/>
              <w:bottom w:val="nil"/>
              <w:right w:val="nil"/>
            </w:tcBorders>
            <w:shd w:val="clear" w:color="auto" w:fill="auto"/>
          </w:tcPr>
          <w:p w:rsidRPr="001356F1" w:rsidR="00E87F7A" w:rsidP="00A46E98" w:rsidRDefault="00E87F7A" w14:paraId="032B9A5B" w14:textId="77777777">
            <w:r w:rsidRPr="001356F1">
              <w:t>Service area or department</w:t>
            </w:r>
          </w:p>
        </w:tc>
        <w:tc>
          <w:tcPr>
            <w:tcW w:w="4962" w:type="dxa"/>
            <w:tcBorders>
              <w:top w:val="nil"/>
              <w:left w:val="nil"/>
              <w:bottom w:val="nil"/>
              <w:right w:val="single" w:color="000000" w:sz="8" w:space="0"/>
            </w:tcBorders>
            <w:shd w:val="clear" w:color="auto" w:fill="auto"/>
          </w:tcPr>
          <w:p w:rsidRPr="001356F1" w:rsidR="00E87F7A" w:rsidP="00A46E98" w:rsidRDefault="00110528" w14:paraId="032B9A5C" w14:textId="77777777">
            <w:r>
              <w:t>Environmental Sustainability</w:t>
            </w:r>
          </w:p>
        </w:tc>
      </w:tr>
      <w:tr w:rsidRPr="001356F1" w:rsidR="00DF093E" w:rsidTr="00A46E98" w14:paraId="032B9A60" w14:textId="77777777">
        <w:trPr>
          <w:cantSplit/>
          <w:trHeight w:val="396"/>
        </w:trPr>
        <w:tc>
          <w:tcPr>
            <w:tcW w:w="3969" w:type="dxa"/>
            <w:tcBorders>
              <w:top w:val="nil"/>
              <w:left w:val="single" w:color="000000" w:sz="8" w:space="0"/>
              <w:bottom w:val="nil"/>
              <w:right w:val="nil"/>
            </w:tcBorders>
            <w:shd w:val="clear" w:color="auto" w:fill="auto"/>
          </w:tcPr>
          <w:p w:rsidRPr="001356F1" w:rsidR="00E87F7A" w:rsidP="00A46E98" w:rsidRDefault="00E87F7A" w14:paraId="032B9A5E" w14:textId="77777777">
            <w:r w:rsidRPr="001356F1">
              <w:t xml:space="preserve">Telephone </w:t>
            </w:r>
          </w:p>
        </w:tc>
        <w:tc>
          <w:tcPr>
            <w:tcW w:w="4962" w:type="dxa"/>
            <w:tcBorders>
              <w:top w:val="nil"/>
              <w:left w:val="nil"/>
              <w:bottom w:val="nil"/>
              <w:right w:val="single" w:color="000000" w:sz="8" w:space="0"/>
            </w:tcBorders>
            <w:shd w:val="clear" w:color="auto" w:fill="auto"/>
          </w:tcPr>
          <w:p w:rsidRPr="001356F1" w:rsidR="00E87F7A" w:rsidP="00110528" w:rsidRDefault="00E87F7A" w14:paraId="032B9A5F" w14:textId="77777777">
            <w:r w:rsidRPr="001356F1">
              <w:t xml:space="preserve">01865 </w:t>
            </w:r>
            <w:r w:rsidR="00110528">
              <w:t>252552</w:t>
            </w:r>
            <w:r w:rsidRPr="001356F1">
              <w:t xml:space="preserve">  </w:t>
            </w:r>
          </w:p>
        </w:tc>
      </w:tr>
      <w:tr w:rsidRPr="001356F1" w:rsidR="005570B5" w:rsidTr="00A46E98" w14:paraId="032B9A63" w14:textId="77777777">
        <w:trPr>
          <w:cantSplit/>
          <w:trHeight w:val="396"/>
        </w:trPr>
        <w:tc>
          <w:tcPr>
            <w:tcW w:w="3969" w:type="dxa"/>
            <w:tcBorders>
              <w:top w:val="nil"/>
              <w:left w:val="single" w:color="000000" w:sz="8" w:space="0"/>
              <w:bottom w:val="single" w:color="000000" w:sz="8" w:space="0"/>
              <w:right w:val="nil"/>
            </w:tcBorders>
            <w:shd w:val="clear" w:color="auto" w:fill="auto"/>
          </w:tcPr>
          <w:p w:rsidRPr="001356F1" w:rsidR="00E87F7A" w:rsidP="00A46E98" w:rsidRDefault="00E87F7A" w14:paraId="032B9A61" w14:textId="77777777">
            <w:r w:rsidRPr="001356F1">
              <w:t xml:space="preserve">e-mail </w:t>
            </w:r>
          </w:p>
        </w:tc>
        <w:tc>
          <w:tcPr>
            <w:tcW w:w="4962" w:type="dxa"/>
            <w:tcBorders>
              <w:top w:val="nil"/>
              <w:left w:val="nil"/>
              <w:bottom w:val="single" w:color="000000" w:sz="8" w:space="0"/>
              <w:right w:val="single" w:color="000000" w:sz="8" w:space="0"/>
            </w:tcBorders>
            <w:shd w:val="clear" w:color="auto" w:fill="auto"/>
          </w:tcPr>
          <w:p w:rsidRPr="001356F1" w:rsidR="00E87F7A" w:rsidP="00A46E98" w:rsidRDefault="00110528" w14:paraId="032B9A62" w14:textId="77777777">
            <w:pPr>
              <w:rPr>
                <w:rStyle w:val="Hyperlink"/>
                <w:color w:val="000000"/>
              </w:rPr>
            </w:pPr>
            <w:r>
              <w:rPr>
                <w:rStyle w:val="Hyperlink"/>
                <w:color w:val="000000"/>
              </w:rPr>
              <w:t>pscott@oxford.gov.uk</w:t>
            </w:r>
          </w:p>
        </w:tc>
      </w:tr>
    </w:tbl>
    <w:p w:rsidRPr="001356F1" w:rsidR="00433B96" w:rsidP="004A6D2F" w:rsidRDefault="00433B96" w14:paraId="032B9A64"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
        <w:gridCol w:w="8364"/>
      </w:tblGrid>
      <w:tr w:rsidRPr="001356F1" w:rsidR="00DF093E" w:rsidTr="00A46E98" w14:paraId="032B9A66" w14:textId="77777777">
        <w:tc>
          <w:tcPr>
            <w:tcW w:w="8931" w:type="dxa"/>
            <w:gridSpan w:val="2"/>
            <w:tcBorders>
              <w:top w:val="single" w:color="auto" w:sz="4" w:space="0"/>
              <w:left w:val="single" w:color="auto" w:sz="4" w:space="0"/>
              <w:bottom w:val="single" w:color="000000" w:sz="8" w:space="0"/>
              <w:right w:val="single" w:color="auto" w:sz="4" w:space="0"/>
            </w:tcBorders>
            <w:shd w:val="clear" w:color="auto" w:fill="auto"/>
          </w:tcPr>
          <w:p w:rsidRPr="001356F1" w:rsidR="0093067A" w:rsidP="00F41AC1" w:rsidRDefault="00182B81" w14:paraId="032B9A65" w14:textId="0850CF24">
            <w:r w:rsidRPr="001356F1">
              <w:rPr>
                <w:rStyle w:val="Firstpagetablebold"/>
              </w:rPr>
              <w:t xml:space="preserve">Background Papers: </w:t>
            </w:r>
          </w:p>
        </w:tc>
      </w:tr>
      <w:tr w:rsidRPr="001356F1" w:rsidR="00DF093E" w:rsidTr="00A46E98" w14:paraId="032B9A69" w14:textId="77777777">
        <w:tc>
          <w:tcPr>
            <w:tcW w:w="567" w:type="dxa"/>
            <w:tcBorders>
              <w:top w:val="single" w:color="000000" w:sz="8" w:space="0"/>
              <w:left w:val="single" w:color="000000" w:sz="8" w:space="0"/>
              <w:bottom w:val="nil"/>
              <w:right w:val="nil"/>
            </w:tcBorders>
            <w:shd w:val="clear" w:color="auto" w:fill="auto"/>
          </w:tcPr>
          <w:p w:rsidRPr="001356F1" w:rsidR="0093067A" w:rsidP="00F41AC1" w:rsidRDefault="0093067A" w14:paraId="032B9A67" w14:textId="77777777"/>
        </w:tc>
        <w:tc>
          <w:tcPr>
            <w:tcW w:w="8364" w:type="dxa"/>
            <w:tcBorders>
              <w:top w:val="single" w:color="000000" w:sz="8" w:space="0"/>
              <w:left w:val="nil"/>
              <w:bottom w:val="nil"/>
              <w:right w:val="single" w:color="000000" w:sz="8" w:space="0"/>
            </w:tcBorders>
          </w:tcPr>
          <w:p w:rsidRPr="001356F1" w:rsidR="0093067A" w:rsidP="005D0621" w:rsidRDefault="008247B1" w14:paraId="032B9A68" w14:textId="6A045FE0">
            <w:r>
              <w:t>Draft Land Quality Strategy 2025</w:t>
            </w:r>
          </w:p>
        </w:tc>
      </w:tr>
      <w:tr w:rsidRPr="001356F1" w:rsidR="00DF093E" w:rsidTr="00A46E98" w14:paraId="032B9A6C" w14:textId="77777777">
        <w:tc>
          <w:tcPr>
            <w:tcW w:w="567" w:type="dxa"/>
            <w:tcBorders>
              <w:top w:val="nil"/>
              <w:left w:val="single" w:color="000000" w:sz="8" w:space="0"/>
              <w:bottom w:val="nil"/>
              <w:right w:val="nil"/>
            </w:tcBorders>
            <w:shd w:val="clear" w:color="auto" w:fill="auto"/>
          </w:tcPr>
          <w:p w:rsidRPr="001356F1" w:rsidR="0093067A" w:rsidP="00F41AC1" w:rsidRDefault="0093067A" w14:paraId="032B9A6A" w14:textId="77777777"/>
        </w:tc>
        <w:tc>
          <w:tcPr>
            <w:tcW w:w="8364" w:type="dxa"/>
            <w:tcBorders>
              <w:top w:val="nil"/>
              <w:left w:val="nil"/>
              <w:bottom w:val="nil"/>
              <w:right w:val="single" w:color="000000" w:sz="8" w:space="0"/>
            </w:tcBorders>
          </w:tcPr>
          <w:p w:rsidRPr="001356F1" w:rsidR="0093067A" w:rsidP="00F41AC1" w:rsidRDefault="0093067A" w14:paraId="032B9A6B" w14:textId="77777777"/>
        </w:tc>
      </w:tr>
      <w:tr w:rsidRPr="001356F1" w:rsidR="00DF093E" w:rsidTr="00A46E98" w14:paraId="032B9A6F" w14:textId="77777777">
        <w:tc>
          <w:tcPr>
            <w:tcW w:w="567" w:type="dxa"/>
            <w:tcBorders>
              <w:top w:val="nil"/>
              <w:left w:val="single" w:color="000000" w:sz="8" w:space="0"/>
              <w:bottom w:val="nil"/>
              <w:right w:val="nil"/>
            </w:tcBorders>
            <w:shd w:val="clear" w:color="auto" w:fill="auto"/>
          </w:tcPr>
          <w:p w:rsidRPr="001356F1" w:rsidR="0093067A" w:rsidP="00F41AC1" w:rsidRDefault="0093067A" w14:paraId="032B9A6D" w14:textId="77777777"/>
        </w:tc>
        <w:tc>
          <w:tcPr>
            <w:tcW w:w="8364" w:type="dxa"/>
            <w:tcBorders>
              <w:top w:val="nil"/>
              <w:left w:val="nil"/>
              <w:bottom w:val="nil"/>
              <w:right w:val="single" w:color="000000" w:sz="8" w:space="0"/>
            </w:tcBorders>
          </w:tcPr>
          <w:p w:rsidRPr="001356F1" w:rsidR="0093067A" w:rsidP="00F41AC1" w:rsidRDefault="0093067A" w14:paraId="032B9A6E" w14:textId="77777777"/>
        </w:tc>
      </w:tr>
      <w:tr w:rsidRPr="00A46E98" w:rsidR="005570B5" w:rsidTr="00A46E98" w14:paraId="032B9A72" w14:textId="77777777">
        <w:tc>
          <w:tcPr>
            <w:tcW w:w="567" w:type="dxa"/>
            <w:tcBorders>
              <w:top w:val="nil"/>
              <w:left w:val="single" w:color="000000" w:sz="8" w:space="0"/>
              <w:bottom w:val="single" w:color="000000" w:sz="8" w:space="0"/>
              <w:right w:val="nil"/>
            </w:tcBorders>
            <w:shd w:val="clear" w:color="auto" w:fill="auto"/>
          </w:tcPr>
          <w:p w:rsidRPr="00A46E98" w:rsidR="0093067A" w:rsidP="00F41AC1" w:rsidRDefault="0093067A" w14:paraId="032B9A70" w14:textId="77777777"/>
        </w:tc>
        <w:tc>
          <w:tcPr>
            <w:tcW w:w="8364" w:type="dxa"/>
            <w:tcBorders>
              <w:top w:val="nil"/>
              <w:left w:val="nil"/>
              <w:bottom w:val="single" w:color="000000" w:sz="8" w:space="0"/>
              <w:right w:val="single" w:color="000000" w:sz="8" w:space="0"/>
            </w:tcBorders>
          </w:tcPr>
          <w:p w:rsidRPr="00A46E98" w:rsidR="0093067A" w:rsidP="00F41AC1" w:rsidRDefault="0093067A" w14:paraId="032B9A71" w14:textId="77777777"/>
        </w:tc>
      </w:tr>
    </w:tbl>
    <w:p w:rsidR="00CE4C87" w:rsidP="0093067A" w:rsidRDefault="00CE4C87" w14:paraId="032B9A73" w14:textId="77777777"/>
    <w:p w:rsidRPr="009E51FC" w:rsidR="004456DD" w:rsidP="003C42B3" w:rsidRDefault="004456DD" w14:paraId="032B9A8D" w14:textId="77777777"/>
    <w:sectPr w:rsidRPr="009E51FC" w:rsidR="004456DD" w:rsidSect="00BC200B">
      <w:footerReference w:type="even" r:id="rId12"/>
      <w:headerReference w:type="first" r:id="rId13"/>
      <w:footerReference w:type="first" r:id="rId14"/>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327" w:rsidP="004A6D2F" w:rsidRDefault="00EB1327" w14:paraId="649BEA32" w14:textId="77777777">
      <w:r>
        <w:separator/>
      </w:r>
    </w:p>
  </w:endnote>
  <w:endnote w:type="continuationSeparator" w:id="0">
    <w:p w:rsidR="00EB1327" w:rsidP="004A6D2F" w:rsidRDefault="00EB1327" w14:paraId="279C3F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FAD" w:rsidP="004A6D2F" w:rsidRDefault="00364FAD" w14:paraId="032B9A92" w14:textId="77777777">
    <w:pPr>
      <w:pStyle w:val="Footer"/>
    </w:pPr>
    <w:r>
      <w:t>Do not use a footer or page numbers.</w:t>
    </w:r>
  </w:p>
  <w:p w:rsidR="00364FAD" w:rsidP="004A6D2F" w:rsidRDefault="00364FAD" w14:paraId="032B9A93" w14:textId="77777777">
    <w:pPr>
      <w:pStyle w:val="Footer"/>
    </w:pPr>
  </w:p>
  <w:p w:rsidR="00364FAD" w:rsidP="004A6D2F" w:rsidRDefault="00364FAD" w14:paraId="032B9A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1B5" w:rsidP="004A6D2F" w:rsidRDefault="00745BF0" w14:paraId="032B9A96" w14:textId="77777777">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327" w:rsidP="004A6D2F" w:rsidRDefault="00EB1327" w14:paraId="7EC2BDDF" w14:textId="77777777">
      <w:r>
        <w:separator/>
      </w:r>
    </w:p>
  </w:footnote>
  <w:footnote w:type="continuationSeparator" w:id="0">
    <w:p w:rsidR="00EB1327" w:rsidP="004A6D2F" w:rsidRDefault="00EB1327" w14:paraId="2B2437A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547E" w:rsidP="00D5547E" w:rsidRDefault="001638B5" w14:paraId="032B9A95" w14:textId="77777777">
    <w:pPr>
      <w:pStyle w:val="Header"/>
      <w:jc w:val="right"/>
    </w:pPr>
    <w:r>
      <w:rPr>
        <w:noProof/>
      </w:rPr>
      <w:drawing>
        <wp:inline distT="0" distB="0" distL="0" distR="0" wp14:anchorId="032B9A97" wp14:editId="032B9A98">
          <wp:extent cx="843280" cy="1117600"/>
          <wp:effectExtent l="0" t="0" r="0" b="635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1117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502"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B417C27"/>
    <w:multiLevelType w:val="multilevel"/>
    <w:tmpl w:val="622822D0"/>
    <w:lvl w:ilvl="0">
      <w:start w:val="1"/>
      <w:numFmt w:val="bullet"/>
      <w:lvlText w:val=""/>
      <w:lvlJc w:val="left"/>
      <w:pPr>
        <w:ind w:left="360" w:hanging="360"/>
      </w:pPr>
      <w:rPr>
        <w:rFonts w:hint="default" w:ascii="Symbol" w:hAnsi="Symbo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DB92752"/>
    <w:multiLevelType w:val="hybridMultilevel"/>
    <w:tmpl w:val="7234C46A"/>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7" w15:restartNumberingAfterBreak="0">
    <w:nsid w:val="1E277658"/>
    <w:multiLevelType w:val="hybridMultilevel"/>
    <w:tmpl w:val="94D2E9DE"/>
    <w:lvl w:ilvl="0" w:tplc="AF8632B8">
      <w:start w:val="1"/>
      <w:numFmt w:val="decimal"/>
      <w:lvlText w:val="%1."/>
      <w:lvlJc w:val="left"/>
      <w:pPr>
        <w:ind w:left="360" w:hanging="360"/>
      </w:pPr>
      <w:rPr>
        <w:rFonts w:cs="Times New Roman"/>
        <w:color w:val="auto"/>
      </w:rPr>
    </w:lvl>
    <w:lvl w:ilvl="1" w:tplc="08090001">
      <w:start w:val="1"/>
      <w:numFmt w:val="bullet"/>
      <w:lvlText w:val=""/>
      <w:lvlJc w:val="left"/>
      <w:pPr>
        <w:ind w:left="1080" w:hanging="360"/>
      </w:pPr>
      <w:rPr>
        <w:rFonts w:hint="default" w:ascii="Symbol" w:hAnsi="Symbol"/>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2263A6A"/>
    <w:multiLevelType w:val="multilevel"/>
    <w:tmpl w:val="43D6D2FA"/>
    <w:numStyleLink w:val="StyleBulletedSymbolsymbolLeft063cmHanging063cm"/>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68353D"/>
    <w:multiLevelType w:val="hybridMultilevel"/>
    <w:tmpl w:val="59847B12"/>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8450F8"/>
    <w:multiLevelType w:val="hybridMultilevel"/>
    <w:tmpl w:val="E64A25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1F1D5C"/>
    <w:multiLevelType w:val="hybridMultilevel"/>
    <w:tmpl w:val="4B1CFAC6"/>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0"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565907"/>
    <w:multiLevelType w:val="hybridMultilevel"/>
    <w:tmpl w:val="55949A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ABA5FD8"/>
    <w:multiLevelType w:val="multilevel"/>
    <w:tmpl w:val="43D6D2FA"/>
    <w:numStyleLink w:val="StyleBulletedSymbolsymbolLeft063cmHanging063cm"/>
  </w:abstractNum>
  <w:abstractNum w:abstractNumId="33" w15:restartNumberingAfterBreak="0">
    <w:nsid w:val="5C7E19E2"/>
    <w:multiLevelType w:val="hybridMultilevel"/>
    <w:tmpl w:val="3146A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2A22831"/>
    <w:multiLevelType w:val="multilevel"/>
    <w:tmpl w:val="43D6D2FA"/>
    <w:numStyleLink w:val="StyleBulletedSymbolsymbolLeft063cmHanging063cm"/>
  </w:abstractNum>
  <w:abstractNum w:abstractNumId="35"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1550E4"/>
    <w:multiLevelType w:val="hybridMultilevel"/>
    <w:tmpl w:val="DD86F5E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D633D02"/>
    <w:multiLevelType w:val="hybridMultilevel"/>
    <w:tmpl w:val="9D14B2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DF50ED7"/>
    <w:multiLevelType w:val="hybridMultilevel"/>
    <w:tmpl w:val="05F4E326"/>
    <w:lvl w:ilvl="0" w:tplc="08090001">
      <w:start w:val="1"/>
      <w:numFmt w:val="bullet"/>
      <w:lvlText w:val=""/>
      <w:lvlJc w:val="left"/>
      <w:pPr>
        <w:ind w:left="1222" w:hanging="360"/>
      </w:pPr>
      <w:rPr>
        <w:rFonts w:hint="default" w:ascii="Symbol" w:hAnsi="Symbol"/>
      </w:rPr>
    </w:lvl>
    <w:lvl w:ilvl="1" w:tplc="08090003" w:tentative="1">
      <w:start w:val="1"/>
      <w:numFmt w:val="bullet"/>
      <w:lvlText w:val="o"/>
      <w:lvlJc w:val="left"/>
      <w:pPr>
        <w:ind w:left="1942" w:hanging="360"/>
      </w:pPr>
      <w:rPr>
        <w:rFonts w:hint="default" w:ascii="Courier New" w:hAnsi="Courier New" w:cs="Courier New"/>
      </w:rPr>
    </w:lvl>
    <w:lvl w:ilvl="2" w:tplc="08090005" w:tentative="1">
      <w:start w:val="1"/>
      <w:numFmt w:val="bullet"/>
      <w:lvlText w:val=""/>
      <w:lvlJc w:val="left"/>
      <w:pPr>
        <w:ind w:left="2662" w:hanging="360"/>
      </w:pPr>
      <w:rPr>
        <w:rFonts w:hint="default" w:ascii="Wingdings" w:hAnsi="Wingdings"/>
      </w:rPr>
    </w:lvl>
    <w:lvl w:ilvl="3" w:tplc="08090001" w:tentative="1">
      <w:start w:val="1"/>
      <w:numFmt w:val="bullet"/>
      <w:lvlText w:val=""/>
      <w:lvlJc w:val="left"/>
      <w:pPr>
        <w:ind w:left="3382" w:hanging="360"/>
      </w:pPr>
      <w:rPr>
        <w:rFonts w:hint="default" w:ascii="Symbol" w:hAnsi="Symbol"/>
      </w:rPr>
    </w:lvl>
    <w:lvl w:ilvl="4" w:tplc="08090003" w:tentative="1">
      <w:start w:val="1"/>
      <w:numFmt w:val="bullet"/>
      <w:lvlText w:val="o"/>
      <w:lvlJc w:val="left"/>
      <w:pPr>
        <w:ind w:left="4102" w:hanging="360"/>
      </w:pPr>
      <w:rPr>
        <w:rFonts w:hint="default" w:ascii="Courier New" w:hAnsi="Courier New" w:cs="Courier New"/>
      </w:rPr>
    </w:lvl>
    <w:lvl w:ilvl="5" w:tplc="08090005" w:tentative="1">
      <w:start w:val="1"/>
      <w:numFmt w:val="bullet"/>
      <w:lvlText w:val=""/>
      <w:lvlJc w:val="left"/>
      <w:pPr>
        <w:ind w:left="4822" w:hanging="360"/>
      </w:pPr>
      <w:rPr>
        <w:rFonts w:hint="default" w:ascii="Wingdings" w:hAnsi="Wingdings"/>
      </w:rPr>
    </w:lvl>
    <w:lvl w:ilvl="6" w:tplc="08090001" w:tentative="1">
      <w:start w:val="1"/>
      <w:numFmt w:val="bullet"/>
      <w:lvlText w:val=""/>
      <w:lvlJc w:val="left"/>
      <w:pPr>
        <w:ind w:left="5542" w:hanging="360"/>
      </w:pPr>
      <w:rPr>
        <w:rFonts w:hint="default" w:ascii="Symbol" w:hAnsi="Symbol"/>
      </w:rPr>
    </w:lvl>
    <w:lvl w:ilvl="7" w:tplc="08090003" w:tentative="1">
      <w:start w:val="1"/>
      <w:numFmt w:val="bullet"/>
      <w:lvlText w:val="o"/>
      <w:lvlJc w:val="left"/>
      <w:pPr>
        <w:ind w:left="6262" w:hanging="360"/>
      </w:pPr>
      <w:rPr>
        <w:rFonts w:hint="default" w:ascii="Courier New" w:hAnsi="Courier New" w:cs="Courier New"/>
      </w:rPr>
    </w:lvl>
    <w:lvl w:ilvl="8" w:tplc="08090005" w:tentative="1">
      <w:start w:val="1"/>
      <w:numFmt w:val="bullet"/>
      <w:lvlText w:val=""/>
      <w:lvlJc w:val="left"/>
      <w:pPr>
        <w:ind w:left="6982" w:hanging="360"/>
      </w:pPr>
      <w:rPr>
        <w:rFonts w:hint="default" w:ascii="Wingdings" w:hAnsi="Wingdings"/>
      </w:rPr>
    </w:lvl>
  </w:abstractNum>
  <w:abstractNum w:abstractNumId="39"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8365C6"/>
    <w:multiLevelType w:val="multilevel"/>
    <w:tmpl w:val="E67CE66C"/>
    <w:numStyleLink w:val="StyleNumberedLeft0cmHanging075cm"/>
  </w:abstractNum>
  <w:num w:numId="1" w16cid:durableId="522550387">
    <w:abstractNumId w:val="31"/>
  </w:num>
  <w:num w:numId="2" w16cid:durableId="53358925">
    <w:abstractNumId w:val="36"/>
  </w:num>
  <w:num w:numId="3" w16cid:durableId="347290663">
    <w:abstractNumId w:val="27"/>
  </w:num>
  <w:num w:numId="4" w16cid:durableId="236475428">
    <w:abstractNumId w:val="21"/>
  </w:num>
  <w:num w:numId="5" w16cid:durableId="577137894">
    <w:abstractNumId w:val="33"/>
  </w:num>
  <w:num w:numId="6" w16cid:durableId="130363181">
    <w:abstractNumId w:val="39"/>
  </w:num>
  <w:num w:numId="7" w16cid:durableId="341206084">
    <w:abstractNumId w:val="25"/>
  </w:num>
  <w:num w:numId="8" w16cid:durableId="836267328">
    <w:abstractNumId w:val="22"/>
  </w:num>
  <w:num w:numId="9" w16cid:durableId="496769324">
    <w:abstractNumId w:val="13"/>
  </w:num>
  <w:num w:numId="10" w16cid:durableId="2136369472">
    <w:abstractNumId w:val="18"/>
  </w:num>
  <w:num w:numId="11" w16cid:durableId="118956354">
    <w:abstractNumId w:val="30"/>
  </w:num>
  <w:num w:numId="12" w16cid:durableId="1433552522">
    <w:abstractNumId w:val="28"/>
  </w:num>
  <w:num w:numId="13" w16cid:durableId="186675755">
    <w:abstractNumId w:val="10"/>
  </w:num>
  <w:num w:numId="14" w16cid:durableId="860315073">
    <w:abstractNumId w:val="40"/>
  </w:num>
  <w:num w:numId="15" w16cid:durableId="1482118449">
    <w:abstractNumId w:val="19"/>
  </w:num>
  <w:num w:numId="16" w16cid:durableId="975188022">
    <w:abstractNumId w:val="11"/>
  </w:num>
  <w:num w:numId="17" w16cid:durableId="1328829164">
    <w:abstractNumId w:val="32"/>
  </w:num>
  <w:num w:numId="18" w16cid:durableId="13963100">
    <w:abstractNumId w:val="12"/>
  </w:num>
  <w:num w:numId="19" w16cid:durableId="1148402999">
    <w:abstractNumId w:val="34"/>
  </w:num>
  <w:num w:numId="20" w16cid:durableId="337850837">
    <w:abstractNumId w:val="20"/>
  </w:num>
  <w:num w:numId="21" w16cid:durableId="2033415647">
    <w:abstractNumId w:val="24"/>
  </w:num>
  <w:num w:numId="22" w16cid:durableId="997029023">
    <w:abstractNumId w:val="14"/>
  </w:num>
  <w:num w:numId="23" w16cid:durableId="199905214">
    <w:abstractNumId w:val="35"/>
  </w:num>
  <w:num w:numId="24" w16cid:durableId="1046177221">
    <w:abstractNumId w:val="9"/>
  </w:num>
  <w:num w:numId="25" w16cid:durableId="749698556">
    <w:abstractNumId w:val="8"/>
  </w:num>
  <w:num w:numId="26" w16cid:durableId="748625228">
    <w:abstractNumId w:val="7"/>
  </w:num>
  <w:num w:numId="27" w16cid:durableId="210580947">
    <w:abstractNumId w:val="6"/>
  </w:num>
  <w:num w:numId="28" w16cid:durableId="1847397945">
    <w:abstractNumId w:val="5"/>
  </w:num>
  <w:num w:numId="29" w16cid:durableId="866794084">
    <w:abstractNumId w:val="4"/>
  </w:num>
  <w:num w:numId="30" w16cid:durableId="210578049">
    <w:abstractNumId w:val="3"/>
  </w:num>
  <w:num w:numId="31" w16cid:durableId="1727685077">
    <w:abstractNumId w:val="2"/>
  </w:num>
  <w:num w:numId="32" w16cid:durableId="2082365302">
    <w:abstractNumId w:val="1"/>
  </w:num>
  <w:num w:numId="33" w16cid:durableId="1441219067">
    <w:abstractNumId w:val="0"/>
  </w:num>
  <w:num w:numId="34" w16cid:durableId="744839147">
    <w:abstractNumId w:val="17"/>
  </w:num>
  <w:num w:numId="35" w16cid:durableId="2098015517">
    <w:abstractNumId w:val="23"/>
  </w:num>
  <w:num w:numId="36" w16cid:durableId="788667392">
    <w:abstractNumId w:val="29"/>
  </w:num>
  <w:num w:numId="37" w16cid:durableId="610282929">
    <w:abstractNumId w:val="16"/>
  </w:num>
  <w:num w:numId="38" w16cid:durableId="597104944">
    <w:abstractNumId w:val="26"/>
  </w:num>
  <w:num w:numId="39" w16cid:durableId="1095713724">
    <w:abstractNumId w:val="37"/>
  </w:num>
  <w:num w:numId="40" w16cid:durableId="1228110570">
    <w:abstractNumId w:val="15"/>
  </w:num>
  <w:num w:numId="41" w16cid:durableId="648825008">
    <w:abstractNumId w:val="38"/>
  </w:num>
  <w:num w:numId="42" w16cid:durableId="113209059">
    <w:abstractNumId w:val="40"/>
    <w:lvlOverride w:ilvl="0">
      <w:lvl w:ilvl="0">
        <w:start w:val="1"/>
        <w:numFmt w:val="decimal"/>
        <w:pStyle w:val="ListParagraph"/>
        <w:lvlText w:val="%1."/>
        <w:lvlJc w:val="left"/>
        <w:pPr>
          <w:ind w:left="502" w:hanging="360"/>
        </w:pPr>
        <w:rPr>
          <w:rFonts w:ascii="Arial" w:hAnsi="Arial"/>
          <w:color w:val="000000"/>
          <w:sz w:val="24"/>
        </w:rPr>
      </w:lvl>
    </w:lvlOverride>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D1"/>
    <w:rsid w:val="000117D4"/>
    <w:rsid w:val="00017B49"/>
    <w:rsid w:val="000314D7"/>
    <w:rsid w:val="00045F8B"/>
    <w:rsid w:val="00046D2B"/>
    <w:rsid w:val="000500E0"/>
    <w:rsid w:val="0005539F"/>
    <w:rsid w:val="00056263"/>
    <w:rsid w:val="00063BF3"/>
    <w:rsid w:val="00064D8A"/>
    <w:rsid w:val="00064F82"/>
    <w:rsid w:val="00066510"/>
    <w:rsid w:val="00077523"/>
    <w:rsid w:val="000C089F"/>
    <w:rsid w:val="000C3928"/>
    <w:rsid w:val="000C5E8E"/>
    <w:rsid w:val="000F4751"/>
    <w:rsid w:val="000F786D"/>
    <w:rsid w:val="0010524C"/>
    <w:rsid w:val="00110528"/>
    <w:rsid w:val="00111FB1"/>
    <w:rsid w:val="00113418"/>
    <w:rsid w:val="001312B2"/>
    <w:rsid w:val="001356F1"/>
    <w:rsid w:val="00136994"/>
    <w:rsid w:val="0014128E"/>
    <w:rsid w:val="00151888"/>
    <w:rsid w:val="00152961"/>
    <w:rsid w:val="00162A36"/>
    <w:rsid w:val="001638B5"/>
    <w:rsid w:val="00170A2D"/>
    <w:rsid w:val="001752AD"/>
    <w:rsid w:val="001808BC"/>
    <w:rsid w:val="00182B81"/>
    <w:rsid w:val="0018619D"/>
    <w:rsid w:val="001A011E"/>
    <w:rsid w:val="001A066A"/>
    <w:rsid w:val="001A13E6"/>
    <w:rsid w:val="001A5731"/>
    <w:rsid w:val="001B42C3"/>
    <w:rsid w:val="001C5D5E"/>
    <w:rsid w:val="001D678D"/>
    <w:rsid w:val="001E03F8"/>
    <w:rsid w:val="001E1678"/>
    <w:rsid w:val="001E3376"/>
    <w:rsid w:val="00206898"/>
    <w:rsid w:val="002069B3"/>
    <w:rsid w:val="00212CFF"/>
    <w:rsid w:val="002329CF"/>
    <w:rsid w:val="00232F5B"/>
    <w:rsid w:val="00247C29"/>
    <w:rsid w:val="00260467"/>
    <w:rsid w:val="002620BC"/>
    <w:rsid w:val="00263EA3"/>
    <w:rsid w:val="00284F85"/>
    <w:rsid w:val="00290915"/>
    <w:rsid w:val="002A1152"/>
    <w:rsid w:val="002A22E2"/>
    <w:rsid w:val="002A5465"/>
    <w:rsid w:val="002B114F"/>
    <w:rsid w:val="002C64F7"/>
    <w:rsid w:val="002F41F2"/>
    <w:rsid w:val="002F5971"/>
    <w:rsid w:val="002F5A82"/>
    <w:rsid w:val="002F60DA"/>
    <w:rsid w:val="00301BF3"/>
    <w:rsid w:val="0030208D"/>
    <w:rsid w:val="00323418"/>
    <w:rsid w:val="003357BF"/>
    <w:rsid w:val="00364FAD"/>
    <w:rsid w:val="0036738F"/>
    <w:rsid w:val="0036759C"/>
    <w:rsid w:val="00367AE5"/>
    <w:rsid w:val="00367D71"/>
    <w:rsid w:val="003704A9"/>
    <w:rsid w:val="0038150A"/>
    <w:rsid w:val="003B034A"/>
    <w:rsid w:val="003B0841"/>
    <w:rsid w:val="003B6E75"/>
    <w:rsid w:val="003B7DA1"/>
    <w:rsid w:val="003C20B1"/>
    <w:rsid w:val="003C42B3"/>
    <w:rsid w:val="003C7A3D"/>
    <w:rsid w:val="003D0379"/>
    <w:rsid w:val="003D2574"/>
    <w:rsid w:val="003D4C59"/>
    <w:rsid w:val="003F4267"/>
    <w:rsid w:val="00404032"/>
    <w:rsid w:val="00406247"/>
    <w:rsid w:val="0040736F"/>
    <w:rsid w:val="00412C1F"/>
    <w:rsid w:val="004141A9"/>
    <w:rsid w:val="00421CB2"/>
    <w:rsid w:val="004268B9"/>
    <w:rsid w:val="00433B96"/>
    <w:rsid w:val="0043518E"/>
    <w:rsid w:val="004440F1"/>
    <w:rsid w:val="004456DD"/>
    <w:rsid w:val="00446CDF"/>
    <w:rsid w:val="00446CF9"/>
    <w:rsid w:val="004521B7"/>
    <w:rsid w:val="00462AB5"/>
    <w:rsid w:val="00465EAF"/>
    <w:rsid w:val="004738C5"/>
    <w:rsid w:val="004748FC"/>
    <w:rsid w:val="00482F0B"/>
    <w:rsid w:val="00491046"/>
    <w:rsid w:val="00491691"/>
    <w:rsid w:val="004A2AC7"/>
    <w:rsid w:val="004A6D2F"/>
    <w:rsid w:val="004C010C"/>
    <w:rsid w:val="004C2887"/>
    <w:rsid w:val="004D132D"/>
    <w:rsid w:val="004D2626"/>
    <w:rsid w:val="004D6E26"/>
    <w:rsid w:val="004D77D3"/>
    <w:rsid w:val="004E2959"/>
    <w:rsid w:val="004E62C6"/>
    <w:rsid w:val="004F20EF"/>
    <w:rsid w:val="0050321C"/>
    <w:rsid w:val="0050387D"/>
    <w:rsid w:val="00507A03"/>
    <w:rsid w:val="00521FD1"/>
    <w:rsid w:val="00534E1C"/>
    <w:rsid w:val="0054712D"/>
    <w:rsid w:val="00547EF6"/>
    <w:rsid w:val="005570B5"/>
    <w:rsid w:val="0056386D"/>
    <w:rsid w:val="00567E18"/>
    <w:rsid w:val="00575F5F"/>
    <w:rsid w:val="00581805"/>
    <w:rsid w:val="00585F76"/>
    <w:rsid w:val="005A34E4"/>
    <w:rsid w:val="005B17F2"/>
    <w:rsid w:val="005B7FB0"/>
    <w:rsid w:val="005C35A5"/>
    <w:rsid w:val="005C577C"/>
    <w:rsid w:val="005D0621"/>
    <w:rsid w:val="005D1E27"/>
    <w:rsid w:val="005D2A3E"/>
    <w:rsid w:val="005E022E"/>
    <w:rsid w:val="005E5215"/>
    <w:rsid w:val="005F4E9E"/>
    <w:rsid w:val="005F7F7E"/>
    <w:rsid w:val="00614693"/>
    <w:rsid w:val="00623C2F"/>
    <w:rsid w:val="00633578"/>
    <w:rsid w:val="00637068"/>
    <w:rsid w:val="00650811"/>
    <w:rsid w:val="00661D3E"/>
    <w:rsid w:val="006717A7"/>
    <w:rsid w:val="00692627"/>
    <w:rsid w:val="006926A4"/>
    <w:rsid w:val="006969E7"/>
    <w:rsid w:val="006A3643"/>
    <w:rsid w:val="006B2FEB"/>
    <w:rsid w:val="006C2A29"/>
    <w:rsid w:val="006C64CF"/>
    <w:rsid w:val="006D17B1"/>
    <w:rsid w:val="006D4752"/>
    <w:rsid w:val="006D708A"/>
    <w:rsid w:val="006E14C1"/>
    <w:rsid w:val="006E1749"/>
    <w:rsid w:val="006F0292"/>
    <w:rsid w:val="006F27FA"/>
    <w:rsid w:val="006F416B"/>
    <w:rsid w:val="006F519B"/>
    <w:rsid w:val="00713675"/>
    <w:rsid w:val="00715823"/>
    <w:rsid w:val="00737B93"/>
    <w:rsid w:val="00742720"/>
    <w:rsid w:val="00742E29"/>
    <w:rsid w:val="00745BF0"/>
    <w:rsid w:val="007615FE"/>
    <w:rsid w:val="0076655C"/>
    <w:rsid w:val="00772B09"/>
    <w:rsid w:val="007742DC"/>
    <w:rsid w:val="00781536"/>
    <w:rsid w:val="007834C8"/>
    <w:rsid w:val="00791437"/>
    <w:rsid w:val="0079526B"/>
    <w:rsid w:val="00796553"/>
    <w:rsid w:val="007A229B"/>
    <w:rsid w:val="007A3B47"/>
    <w:rsid w:val="007B0C2C"/>
    <w:rsid w:val="007B278E"/>
    <w:rsid w:val="007C5C23"/>
    <w:rsid w:val="007D48CE"/>
    <w:rsid w:val="007E2A26"/>
    <w:rsid w:val="007F2348"/>
    <w:rsid w:val="00803F07"/>
    <w:rsid w:val="00806E76"/>
    <w:rsid w:val="0080749A"/>
    <w:rsid w:val="00821FB8"/>
    <w:rsid w:val="00822ACD"/>
    <w:rsid w:val="008247B1"/>
    <w:rsid w:val="0083315E"/>
    <w:rsid w:val="008467D2"/>
    <w:rsid w:val="00855C66"/>
    <w:rsid w:val="00871EE4"/>
    <w:rsid w:val="008B293F"/>
    <w:rsid w:val="008B7371"/>
    <w:rsid w:val="008D3DDB"/>
    <w:rsid w:val="008E2CF7"/>
    <w:rsid w:val="008F573F"/>
    <w:rsid w:val="009034EC"/>
    <w:rsid w:val="009148BA"/>
    <w:rsid w:val="00914ADC"/>
    <w:rsid w:val="00916441"/>
    <w:rsid w:val="00917663"/>
    <w:rsid w:val="0093067A"/>
    <w:rsid w:val="00941C60"/>
    <w:rsid w:val="00941FD1"/>
    <w:rsid w:val="00944E14"/>
    <w:rsid w:val="009515C4"/>
    <w:rsid w:val="00966D42"/>
    <w:rsid w:val="00971689"/>
    <w:rsid w:val="00973E90"/>
    <w:rsid w:val="00975B07"/>
    <w:rsid w:val="00980B4A"/>
    <w:rsid w:val="009B586A"/>
    <w:rsid w:val="009B6198"/>
    <w:rsid w:val="009C5514"/>
    <w:rsid w:val="009C5B36"/>
    <w:rsid w:val="009D44C1"/>
    <w:rsid w:val="009E251D"/>
    <w:rsid w:val="009E3D0A"/>
    <w:rsid w:val="009E51FC"/>
    <w:rsid w:val="009F1D28"/>
    <w:rsid w:val="009F7618"/>
    <w:rsid w:val="00A004D1"/>
    <w:rsid w:val="00A04D23"/>
    <w:rsid w:val="00A06766"/>
    <w:rsid w:val="00A13765"/>
    <w:rsid w:val="00A21B12"/>
    <w:rsid w:val="00A23F80"/>
    <w:rsid w:val="00A24DD9"/>
    <w:rsid w:val="00A42A37"/>
    <w:rsid w:val="00A46E98"/>
    <w:rsid w:val="00A543E2"/>
    <w:rsid w:val="00A6352B"/>
    <w:rsid w:val="00A701B5"/>
    <w:rsid w:val="00A714BB"/>
    <w:rsid w:val="00A77147"/>
    <w:rsid w:val="00A92D8F"/>
    <w:rsid w:val="00AB2988"/>
    <w:rsid w:val="00AB54E0"/>
    <w:rsid w:val="00AB7999"/>
    <w:rsid w:val="00AD0308"/>
    <w:rsid w:val="00AD1529"/>
    <w:rsid w:val="00AD3292"/>
    <w:rsid w:val="00AE7AF0"/>
    <w:rsid w:val="00B24B6B"/>
    <w:rsid w:val="00B25C35"/>
    <w:rsid w:val="00B37A65"/>
    <w:rsid w:val="00B500CA"/>
    <w:rsid w:val="00B86314"/>
    <w:rsid w:val="00B970E7"/>
    <w:rsid w:val="00BA1C2E"/>
    <w:rsid w:val="00BC200B"/>
    <w:rsid w:val="00BC4756"/>
    <w:rsid w:val="00BC69A4"/>
    <w:rsid w:val="00BD089D"/>
    <w:rsid w:val="00BE0680"/>
    <w:rsid w:val="00BE0D44"/>
    <w:rsid w:val="00BE305F"/>
    <w:rsid w:val="00BE7BA3"/>
    <w:rsid w:val="00BF5682"/>
    <w:rsid w:val="00BF7B09"/>
    <w:rsid w:val="00C1038F"/>
    <w:rsid w:val="00C20A95"/>
    <w:rsid w:val="00C2692F"/>
    <w:rsid w:val="00C30BD0"/>
    <w:rsid w:val="00C3207C"/>
    <w:rsid w:val="00C400E1"/>
    <w:rsid w:val="00C41187"/>
    <w:rsid w:val="00C63C31"/>
    <w:rsid w:val="00C757A0"/>
    <w:rsid w:val="00C760DE"/>
    <w:rsid w:val="00C80492"/>
    <w:rsid w:val="00C82630"/>
    <w:rsid w:val="00C85B4E"/>
    <w:rsid w:val="00C907F7"/>
    <w:rsid w:val="00CA2103"/>
    <w:rsid w:val="00CB120D"/>
    <w:rsid w:val="00CB6B99"/>
    <w:rsid w:val="00CE4C87"/>
    <w:rsid w:val="00CE544A"/>
    <w:rsid w:val="00CE68B7"/>
    <w:rsid w:val="00D11E1C"/>
    <w:rsid w:val="00D12571"/>
    <w:rsid w:val="00D160B0"/>
    <w:rsid w:val="00D17F94"/>
    <w:rsid w:val="00D223FC"/>
    <w:rsid w:val="00D26D1E"/>
    <w:rsid w:val="00D41FC5"/>
    <w:rsid w:val="00D474CF"/>
    <w:rsid w:val="00D54D2F"/>
    <w:rsid w:val="00D5547E"/>
    <w:rsid w:val="00D572E8"/>
    <w:rsid w:val="00D827E5"/>
    <w:rsid w:val="00D860E2"/>
    <w:rsid w:val="00D869A1"/>
    <w:rsid w:val="00DA413F"/>
    <w:rsid w:val="00DA4584"/>
    <w:rsid w:val="00DA614B"/>
    <w:rsid w:val="00DB7AD7"/>
    <w:rsid w:val="00DC3060"/>
    <w:rsid w:val="00DC67FC"/>
    <w:rsid w:val="00DE0FB2"/>
    <w:rsid w:val="00DF093E"/>
    <w:rsid w:val="00E01F42"/>
    <w:rsid w:val="00E206D6"/>
    <w:rsid w:val="00E20AD0"/>
    <w:rsid w:val="00E27D0D"/>
    <w:rsid w:val="00E3366E"/>
    <w:rsid w:val="00E46772"/>
    <w:rsid w:val="00E52086"/>
    <w:rsid w:val="00E52AFE"/>
    <w:rsid w:val="00E543A6"/>
    <w:rsid w:val="00E55DEF"/>
    <w:rsid w:val="00E60479"/>
    <w:rsid w:val="00E61D73"/>
    <w:rsid w:val="00E730C5"/>
    <w:rsid w:val="00E73684"/>
    <w:rsid w:val="00E818D6"/>
    <w:rsid w:val="00E87F7A"/>
    <w:rsid w:val="00E9246F"/>
    <w:rsid w:val="00E94B3E"/>
    <w:rsid w:val="00E96BD7"/>
    <w:rsid w:val="00EA0DB1"/>
    <w:rsid w:val="00EA0EE9"/>
    <w:rsid w:val="00EB1327"/>
    <w:rsid w:val="00ED52CA"/>
    <w:rsid w:val="00ED5860"/>
    <w:rsid w:val="00EE2691"/>
    <w:rsid w:val="00EE35C9"/>
    <w:rsid w:val="00EE4851"/>
    <w:rsid w:val="00EE7657"/>
    <w:rsid w:val="00F05ECA"/>
    <w:rsid w:val="00F135C6"/>
    <w:rsid w:val="00F3566E"/>
    <w:rsid w:val="00F375FB"/>
    <w:rsid w:val="00F41AC1"/>
    <w:rsid w:val="00F4367A"/>
    <w:rsid w:val="00F445B1"/>
    <w:rsid w:val="00F45CD4"/>
    <w:rsid w:val="00F66DCA"/>
    <w:rsid w:val="00F74F53"/>
    <w:rsid w:val="00F7606D"/>
    <w:rsid w:val="00F81670"/>
    <w:rsid w:val="00F82024"/>
    <w:rsid w:val="00F83671"/>
    <w:rsid w:val="00F95BC9"/>
    <w:rsid w:val="00FA624C"/>
    <w:rsid w:val="00FD0FAC"/>
    <w:rsid w:val="00FD1DFA"/>
    <w:rsid w:val="00FD2B20"/>
    <w:rsid w:val="00FD4966"/>
    <w:rsid w:val="00FE57DC"/>
    <w:rsid w:val="19AD6E9B"/>
    <w:rsid w:val="4733B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B99D6"/>
  <w15:docId w15:val="{5E8265E7-CB6A-4FCF-8229-98283B6C01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3"/>
      </w:numPr>
    </w:pPr>
  </w:style>
  <w:style w:type="paragraph" w:styleId="Bulletpoints" w:customStyle="1">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pPr>
      <w:numPr>
        <w:numId w:val="0"/>
      </w:numPr>
    </w:pPr>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23"/>
      </w:numPr>
      <w:ind w:left="993" w:hanging="426"/>
    </w:pPr>
  </w:style>
  <w:style w:type="character" w:styleId="Heading1Char" w:customStyle="1">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character" w:styleId="FootnoteReference">
    <w:name w:val="footnote reference"/>
    <w:basedOn w:val="DefaultParagraphFont"/>
    <w:uiPriority w:val="99"/>
    <w:rsid w:val="00110528"/>
    <w:rPr>
      <w:rFonts w:cs="Times New Roman"/>
      <w:vertAlign w:val="superscript"/>
    </w:rPr>
  </w:style>
  <w:style w:type="character" w:styleId="UnresolvedMention">
    <w:name w:val="Unresolved Mention"/>
    <w:basedOn w:val="DefaultParagraphFont"/>
    <w:uiPriority w:val="99"/>
    <w:semiHidden/>
    <w:unhideWhenUsed/>
    <w:rsid w:val="00944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ssets.publishing.service.gov.uk/media/5a757dfa40f0b6360e47489d/pb13735cont-land-guidance.pdf"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c0890496c46167c86a643b70879a49fc">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f707e2255aaf8df206e3137265692de0"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D4DE2-EE6D-4BD2-BA1F-FD3104D1391C}"/>
</file>

<file path=customXml/itemProps2.xml><?xml version="1.0" encoding="utf-8"?>
<ds:datastoreItem xmlns:ds="http://schemas.openxmlformats.org/officeDocument/2006/customXml" ds:itemID="{C357DCC2-8C65-4825-B5B5-63FB39CD1665}">
  <ds:schemaRefs>
    <ds:schemaRef ds:uri="http://schemas.microsoft.com/office/2006/metadata/properties"/>
    <ds:schemaRef ds:uri="http://schemas.microsoft.com/office/infopath/2007/PartnerControls"/>
    <ds:schemaRef ds:uri="f4289e97-0d63-4019-8f44-420cabf9f53d"/>
    <ds:schemaRef ds:uri="1982efce-6a8e-438c-b7b8-048d5019abab"/>
  </ds:schemaRefs>
</ds:datastoreItem>
</file>

<file path=customXml/itemProps3.xml><?xml version="1.0" encoding="utf-8"?>
<ds:datastoreItem xmlns:ds="http://schemas.openxmlformats.org/officeDocument/2006/customXml" ds:itemID="{7BAF38AA-64A3-4D0D-8F41-8FB165129F2E}">
  <ds:schemaRefs>
    <ds:schemaRef ds:uri="http://schemas.openxmlformats.org/officeDocument/2006/bibliography"/>
  </ds:schemaRefs>
</ds:datastoreItem>
</file>

<file path=customXml/itemProps4.xml><?xml version="1.0" encoding="utf-8"?>
<ds:datastoreItem xmlns:ds="http://schemas.openxmlformats.org/officeDocument/2006/customXml" ds:itemID="{6B80F00B-2467-473D-B5F5-A06E841BB4B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pscott</dc:creator>
  <lastModifiedBy>MCCOLLUM Brenda</lastModifiedBy>
  <revision>74</revision>
  <lastPrinted>2015-07-03T12:50:00.0000000Z</lastPrinted>
  <dcterms:created xsi:type="dcterms:W3CDTF">2025-10-13T10:38:00.0000000Z</dcterms:created>
  <dcterms:modified xsi:type="dcterms:W3CDTF">2025-11-21T11:00:58.8830646Z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